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207D" w14:textId="66BA6696" w:rsidR="005272AE" w:rsidRPr="00A10E27" w:rsidRDefault="003A4104" w:rsidP="00C63CAC">
      <w:pPr>
        <w:rPr>
          <w:rFonts w:ascii="Arial" w:eastAsia="Calibri" w:hAnsi="Arial" w:cs="Arial"/>
          <w:b w:val="0"/>
          <w:bCs/>
          <w:color w:val="0070C0"/>
          <w:sz w:val="24"/>
          <w:szCs w:val="24"/>
        </w:rPr>
      </w:pPr>
      <w:r w:rsidRPr="00A10E27">
        <w:rPr>
          <w:rFonts w:ascii="Arial" w:eastAsia="Calibri" w:hAnsi="Arial" w:cs="Arial"/>
          <w:b w:val="0"/>
          <w:bCs/>
          <w:color w:val="0070C0"/>
          <w:sz w:val="24"/>
          <w:szCs w:val="24"/>
        </w:rPr>
        <w:t xml:space="preserve">Сколько </w:t>
      </w:r>
      <w:r w:rsidR="0098010C" w:rsidRPr="00A10E27">
        <w:rPr>
          <w:rFonts w:ascii="Arial" w:eastAsia="Calibri" w:hAnsi="Arial" w:cs="Arial"/>
          <w:b w:val="0"/>
          <w:bCs/>
          <w:color w:val="0070C0"/>
          <w:sz w:val="24"/>
          <w:szCs w:val="24"/>
        </w:rPr>
        <w:t>грузовых</w:t>
      </w:r>
      <w:r w:rsidRPr="00A10E27">
        <w:rPr>
          <w:rFonts w:ascii="Arial" w:eastAsia="Calibri" w:hAnsi="Arial" w:cs="Arial"/>
          <w:b w:val="0"/>
          <w:bCs/>
          <w:color w:val="0070C0"/>
          <w:sz w:val="24"/>
          <w:szCs w:val="24"/>
        </w:rPr>
        <w:t xml:space="preserve"> автомобилей продадут</w:t>
      </w:r>
      <w:r w:rsidR="001D7A47" w:rsidRPr="00A10E27">
        <w:rPr>
          <w:rFonts w:ascii="Arial" w:eastAsia="Calibri" w:hAnsi="Arial" w:cs="Arial"/>
          <w:b w:val="0"/>
          <w:bCs/>
          <w:color w:val="0070C0"/>
          <w:sz w:val="24"/>
          <w:szCs w:val="24"/>
        </w:rPr>
        <w:t xml:space="preserve"> </w:t>
      </w:r>
      <w:r w:rsidR="006960E6" w:rsidRPr="00A10E27">
        <w:rPr>
          <w:rFonts w:ascii="Arial" w:eastAsia="Calibri" w:hAnsi="Arial" w:cs="Arial"/>
          <w:b w:val="0"/>
          <w:bCs/>
          <w:color w:val="0070C0"/>
          <w:sz w:val="24"/>
          <w:szCs w:val="24"/>
        </w:rPr>
        <w:t xml:space="preserve">в </w:t>
      </w:r>
      <w:r w:rsidR="008334A8" w:rsidRPr="00A10E27">
        <w:rPr>
          <w:rFonts w:ascii="Arial" w:eastAsia="Calibri" w:hAnsi="Arial" w:cs="Arial"/>
          <w:b w:val="0"/>
          <w:bCs/>
          <w:color w:val="0070C0"/>
          <w:sz w:val="24"/>
          <w:szCs w:val="24"/>
        </w:rPr>
        <w:t>2025 г</w:t>
      </w:r>
      <w:r w:rsidR="005929EF" w:rsidRPr="00A10E27">
        <w:rPr>
          <w:rFonts w:ascii="Arial" w:eastAsia="Calibri" w:hAnsi="Arial" w:cs="Arial"/>
          <w:b w:val="0"/>
          <w:bCs/>
          <w:color w:val="0070C0"/>
          <w:sz w:val="24"/>
          <w:szCs w:val="24"/>
        </w:rPr>
        <w:t>од</w:t>
      </w:r>
      <w:r w:rsidR="00C348C2" w:rsidRPr="00A10E27">
        <w:rPr>
          <w:rFonts w:ascii="Arial" w:eastAsia="Calibri" w:hAnsi="Arial" w:cs="Arial"/>
          <w:b w:val="0"/>
          <w:bCs/>
          <w:color w:val="0070C0"/>
          <w:sz w:val="24"/>
          <w:szCs w:val="24"/>
        </w:rPr>
        <w:t>у</w:t>
      </w:r>
    </w:p>
    <w:p w14:paraId="41649BF8" w14:textId="3838C08A" w:rsidR="0098010C" w:rsidRPr="002A58D2" w:rsidRDefault="0098010C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Прогноз по рынку новых грузовых автомобилей</w:t>
      </w:r>
      <w:r w:rsidR="00574776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(техника с полной массой свыше 6 т)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сформирован с построением трех сценариев: базового, оптимистичного и пессимистичного. </w:t>
      </w:r>
    </w:p>
    <w:p w14:paraId="19B87553" w14:textId="7C0A5405" w:rsidR="00F31977" w:rsidRPr="002A58D2" w:rsidRDefault="0098010C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Согласно всем трем сценариям прогноза на российский автомобильный рынок оказали негативное влияние следующие факторы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:</w:t>
      </w:r>
    </w:p>
    <w:p w14:paraId="7BC64BF4" w14:textId="46AE6B3D" w:rsidR="00951915" w:rsidRPr="002A58D2" w:rsidRDefault="00F31977" w:rsidP="00727EB1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Санкции</w:t>
      </w:r>
      <w:r w:rsidR="003803BA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(ЕС, США и других стран)</w:t>
      </w: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097C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После 24 февраля 2022 г. против РФ были введены экономические санкции, которые затронули в том числе и автомобильный рынок. Действует запрет на экспорт в РФ грузовой техники, автокомпонентов, запчастей, технологий и оборудования. Исходя из мировых политических трендов мы предполагаем, что санкции против РФ сохранятся в 2024–2025 гг. Влияние санкций на </w:t>
      </w:r>
      <w:r w:rsidR="007377CA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объем продаж</w:t>
      </w:r>
      <w:r w:rsidR="00097C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новых грузовых автомобилей не высокое, так как большая часть техники, </w:t>
      </w:r>
      <w:r w:rsidR="00E2305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ранее поставлявшейся</w:t>
      </w:r>
      <w:r w:rsidR="00097C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из стран, которые объявили санкции против РФ, замещена китайской, российской и белорусской техникой. Также небольшое количество зарубежной техники поставляется по параллельному импорту.</w:t>
      </w:r>
    </w:p>
    <w:p w14:paraId="3D8221DA" w14:textId="4C93CD59" w:rsidR="00193AF1" w:rsidRPr="002A58D2" w:rsidRDefault="001400B7" w:rsidP="00727EB1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eastAsia="Calibri" w:hAnsiTheme="majorHAnsi" w:cstheme="majorHAnsi"/>
          <w:b w:val="0"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Высокие процентные ставки по кредиту и </w:t>
      </w:r>
      <w:r w:rsidR="008334A8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лизингу.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58572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С начала 2024 г. происходит постепенное увеличение ключевой ставки ЦБ РФ</w:t>
      </w:r>
      <w:r w:rsidR="005809E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(см. график)</w:t>
      </w:r>
      <w:r w:rsidR="0058572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. </w:t>
      </w:r>
      <w:r w:rsidR="005809E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Последнее повышение ключевой ставки состоялось </w:t>
      </w:r>
      <w:r w:rsidR="0058572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25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58572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октября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202</w:t>
      </w:r>
      <w:r w:rsidR="005809E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4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г. ЦБ РФ повысил ключевую ставку до </w:t>
      </w:r>
      <w:r w:rsidR="005809E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21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%, эта ставка действует </w:t>
      </w:r>
      <w:r w:rsidR="0087446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до 19 декабря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2024 г. </w:t>
      </w:r>
      <w:r w:rsidR="0087446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20 декабря состоится заседание Совета директоров Банка России, на котором будет рассматриваться вопрос о дальнейшем  уровне ключевой ставки.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 ростом ключевой ставки выросли ставки по кредитам и лизингу, что сделало эти финансовые инструменты менее доступными. 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Н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егативно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е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влия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ние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высоки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х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став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ок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по лизингу и кредиту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сохранится </w:t>
      </w:r>
      <w:r w:rsidR="0087446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до конца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2024</w:t>
      </w:r>
      <w:r w:rsidR="0087446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г</w:t>
      </w:r>
      <w:r w:rsidR="00E1081D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ода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и в 2025 год</w:t>
      </w:r>
      <w:r w:rsidR="004F66E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у</w:t>
      </w:r>
      <w:r w:rsidR="00E3009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4F66E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Процентные ставки по лизингу и </w:t>
      </w:r>
      <w:r w:rsidR="003E5AD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кредиту будут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зависеть от ключевой ставки ЦБ РФ, которая может быть увеличена</w:t>
      </w:r>
      <w:r w:rsidR="0087446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после 20 декабря 2024 г</w:t>
      </w:r>
      <w:r w:rsidR="004F66E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</w:p>
    <w:p w14:paraId="62649FAC" w14:textId="2C62B623" w:rsidR="005809E6" w:rsidRPr="00905FAC" w:rsidRDefault="005809E6" w:rsidP="00727EB1">
      <w:pPr>
        <w:spacing w:line="240" w:lineRule="auto"/>
        <w:ind w:right="141"/>
        <w:jc w:val="center"/>
        <w:rPr>
          <w:rFonts w:asciiTheme="majorHAnsi" w:eastAsia="Calibri" w:hAnsiTheme="majorHAnsi" w:cstheme="majorHAnsi"/>
          <w:bCs/>
          <w:color w:val="000000" w:themeColor="text1"/>
          <w:sz w:val="20"/>
        </w:rPr>
      </w:pPr>
      <w:bookmarkStart w:id="0" w:name="_Hlk181572544"/>
      <w:r w:rsidRPr="00905FAC">
        <w:rPr>
          <w:rFonts w:asciiTheme="majorHAnsi" w:eastAsia="Calibri" w:hAnsiTheme="majorHAnsi" w:cstheme="majorHAnsi"/>
          <w:bCs/>
          <w:color w:val="000000" w:themeColor="text1"/>
          <w:sz w:val="20"/>
        </w:rPr>
        <w:t>Изменение ключевой ставки ЦБ РФ в 2024 г.</w:t>
      </w:r>
    </w:p>
    <w:bookmarkEnd w:id="0"/>
    <w:p w14:paraId="3701F0A2" w14:textId="0AC4BBE1" w:rsidR="005809E6" w:rsidRPr="004D4D9A" w:rsidRDefault="008B7D09" w:rsidP="00727EB1">
      <w:pPr>
        <w:jc w:val="center"/>
        <w:rPr>
          <w:rFonts w:asciiTheme="majorHAnsi" w:eastAsia="Calibri" w:hAnsiTheme="majorHAnsi" w:cstheme="majorHAnsi"/>
          <w:b w:val="0"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>
        <w:rPr>
          <w:rFonts w:asciiTheme="majorHAnsi" w:eastAsia="Calibri" w:hAnsiTheme="majorHAnsi" w:cstheme="majorHAnsi"/>
          <w:b w:val="0"/>
          <w:noProof/>
          <w:color w:val="000000" w:themeColor="text1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6B929C88" wp14:editId="312F9DC7">
            <wp:extent cx="581025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023D7" w14:textId="1FCEF9EE" w:rsidR="00874468" w:rsidRPr="004D4D9A" w:rsidRDefault="00874468" w:rsidP="00727EB1">
      <w:pPr>
        <w:spacing w:before="120" w:line="240" w:lineRule="auto"/>
        <w:ind w:right="141"/>
        <w:jc w:val="right"/>
        <w:rPr>
          <w:rFonts w:asciiTheme="majorHAnsi" w:eastAsia="Calibri" w:hAnsiTheme="majorHAnsi" w:cstheme="majorHAnsi"/>
          <w:b w:val="0"/>
          <w:i/>
          <w:color w:val="000000" w:themeColor="text1"/>
          <w:sz w:val="16"/>
        </w:rPr>
      </w:pPr>
      <w:r w:rsidRPr="004D4D9A">
        <w:rPr>
          <w:rFonts w:asciiTheme="majorHAnsi" w:eastAsia="Calibri" w:hAnsiTheme="majorHAnsi" w:cstheme="majorHAnsi"/>
          <w:b w:val="0"/>
          <w:i/>
          <w:color w:val="000000" w:themeColor="text1"/>
          <w:sz w:val="16"/>
        </w:rPr>
        <w:t>Источник: ЦБ РФ</w:t>
      </w:r>
    </w:p>
    <w:p w14:paraId="4003AF74" w14:textId="4C709E46" w:rsidR="00D74343" w:rsidRPr="002A58D2" w:rsidRDefault="00E46A4E" w:rsidP="00727EB1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Рост утилизационного сбора</w:t>
      </w:r>
      <w:r w:rsidR="003803BA"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и ужесточение условий сертификации импо</w:t>
      </w:r>
      <w:r w:rsidR="00115006"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р</w:t>
      </w:r>
      <w:r w:rsidR="00E25720"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тируемой </w:t>
      </w:r>
      <w:r w:rsidR="003803BA"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техники</w:t>
      </w:r>
      <w:r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. </w:t>
      </w:r>
      <w:r w:rsidR="00800A42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 1 апреля 2024 г. Правительством РФ было принято учитывать налоги и сборы, которые были не доплачены из-за занижения таможенной стоимости автомобилей, ввезенных в РФ из стран ЕАЭС, в составе утилизационного сбора. </w:t>
      </w:r>
      <w:r w:rsidR="00BC0B8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 1 октября 2024 г. </w:t>
      </w:r>
      <w:r w:rsidR="00800A42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произошло существенное повышение коэффициентов утилизационного сбора для всех типов ТС, включая </w:t>
      </w:r>
      <w:r w:rsidR="00097C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грузовые</w:t>
      </w:r>
      <w:r w:rsidR="00800A42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автомобили. </w:t>
      </w:r>
      <w:r w:rsidR="00800A42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С 1 января 2025 г.</w:t>
      </w:r>
      <w:r w:rsidR="00BC0B80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DC314E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коэффициенты </w:t>
      </w:r>
      <w:r w:rsidR="003803BA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утилизационн</w:t>
      </w:r>
      <w:r w:rsidR="00DC314E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ого</w:t>
      </w:r>
      <w:r w:rsidR="003803BA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сбор</w:t>
      </w:r>
      <w:r w:rsidR="00DC314E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а снова будут проиндексированы</w:t>
      </w:r>
      <w:r w:rsidR="001153E0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  <w:r w:rsidR="00800A42" w:rsidRPr="002A58D2">
        <w:rPr>
          <w:rFonts w:asciiTheme="majorHAnsi" w:eastAsia="Calibri" w:hAnsiTheme="majorHAnsi" w:cstheme="majorHAnsi"/>
          <w:b w:val="0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Учитывая то, что российским автопроизводителям, подписавшим СПИК, затраты по уплате утилизационного сбора компенсируются в виде промышленных субсидий,</w:t>
      </w:r>
      <w:r w:rsidR="00800A42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его повышение прежде всего негативно сказывается на ценах на импортируемые автомобили</w:t>
      </w:r>
      <w:r w:rsidR="00E73B0A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, в первую очередь произведенные в Китае</w:t>
      </w:r>
      <w:r w:rsidR="00800A42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</w:p>
    <w:p w14:paraId="3C5E92B1" w14:textId="11BE175E" w:rsidR="00D74343" w:rsidRPr="002A58D2" w:rsidRDefault="00D531B6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 1 октября 2023 г. сертификация автомобилей тех брендов, которые не прекращали официальные поставки в </w:t>
      </w:r>
      <w:r w:rsidR="00A667B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Россию</w:t>
      </w:r>
      <w:r w:rsidR="00BD772A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,</w:t>
      </w:r>
      <w:r w:rsidR="00A667B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и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не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включен</w:t>
      </w:r>
      <w:r w:rsidR="00BE7A7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ы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в перечень брендов, разрешенных к параллельному </w:t>
      </w:r>
      <w:r w:rsidR="008334A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импорту, осуществляется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в рамках технического регламента «О безопасности колесных транспортных средств»</w:t>
      </w:r>
      <w:r w:rsidR="00BE7A7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. На автомобили этих брендов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оформляется ОТТС</w:t>
      </w:r>
      <w:r w:rsidR="00BE7A7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ранее можно было оформлять ЗОЕТС</w:t>
      </w:r>
      <w:r w:rsidR="00060F4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по упрощенной процедуре</w:t>
      </w:r>
      <w:r w:rsidR="00BE7A7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8334A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Также для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lastRenderedPageBreak/>
        <w:t>юридических лиц обязательна установка системы ЭРА-</w:t>
      </w:r>
      <w:r w:rsidR="008334A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ГЛОНАСС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при ввозе автомобилей</w:t>
      </w:r>
      <w:r w:rsidR="00D74343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. Данные требования будут </w:t>
      </w:r>
      <w:r w:rsidR="008334A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сохраняться </w:t>
      </w:r>
      <w:r w:rsidR="00DC31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до конца 2024</w:t>
      </w:r>
      <w:r w:rsidR="003E5AD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DC31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г.</w:t>
      </w:r>
    </w:p>
    <w:p w14:paraId="5D18F27A" w14:textId="4FE81D1C" w:rsidR="00DC314E" w:rsidRPr="002A58D2" w:rsidRDefault="00DC314E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С 2025 г. планируется пересмотр механизма оформления ЗОЕТС и ужесточение правил сертификации</w:t>
      </w:r>
      <w:r w:rsidR="00AC48D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транспортных средств</w:t>
      </w:r>
      <w:r w:rsidR="006236CD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(ТС)</w:t>
      </w:r>
      <w:r w:rsidR="00AC48D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не только для импортеров автомобилей, но </w:t>
      </w:r>
      <w:r w:rsidR="00A300A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и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для производителей. Вместо упрощенных правил сертификации, прописанных в постановлении № 855 могут быть возвращены некоторые требования технического регламента «О безопасности колесных транспортных средств».</w:t>
      </w:r>
      <w:r w:rsidR="00BE435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0F4FA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Соответствующий</w:t>
      </w:r>
      <w:r w:rsidR="00BE435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законопроект находится на стадии рассмотрения.</w:t>
      </w:r>
    </w:p>
    <w:p w14:paraId="5D440FC5" w14:textId="5E5B1BDA" w:rsidR="00E25720" w:rsidRPr="002A58D2" w:rsidRDefault="00E25720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Рост утилизационного сбора и ужесточение условий сертификации импортируемой техники приводит к повышению цен на</w:t>
      </w:r>
      <w:r w:rsidR="00097C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грузовые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автомобили, что негативно сказывается на рынке.</w:t>
      </w:r>
    </w:p>
    <w:p w14:paraId="6E3E7168" w14:textId="119E5F2D" w:rsidR="00097C94" w:rsidRPr="002A58D2" w:rsidRDefault="00097C94" w:rsidP="00727EB1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Перенасыщение рынка</w:t>
      </w:r>
      <w:r w:rsidR="00DD289F"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  <w:r w:rsidR="00DD289F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Многие перевозчики, строительные лизинговые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и другие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компании закупили грузовую технику в 2023 г. и уже не так интенсивно обновляют и расширяют парки в 2024 г.</w:t>
      </w:r>
      <w:r w:rsidRPr="002A58D2">
        <w:rPr>
          <w:color w:val="000000" w:themeColor="text1"/>
        </w:rPr>
        <w:t xml:space="preserve">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Рынок новых грузовых автомобилей останется перенасыщенным и в 2025 г.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</w:p>
    <w:p w14:paraId="3746AFB1" w14:textId="001B3E4F" w:rsidR="00097C94" w:rsidRPr="002A58D2" w:rsidRDefault="00097C94" w:rsidP="00727EB1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Низкий уровень инвестиций в автомобильную промышленность и рынок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. С 2022 г. в России прекращена контрактная сборка грузовых автомобилей иностранных брендов, таких как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lang w:val="en-US"/>
        </w:rPr>
        <w:t>Volvo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lang w:val="en-US"/>
        </w:rPr>
        <w:t>Mitsubishi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lang w:val="en-US"/>
        </w:rPr>
        <w:t>Fuso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  <w:lang w:val="en-US"/>
        </w:rPr>
        <w:t>Isuzu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и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др.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С августа 2023 г. происходит ужесточение условий импорта в Россию грузовых </w:t>
      </w:r>
      <w:r w:rsidR="004F7FE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автомобилей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в РФ (повышение утилизационного сбора, усложнение сертификации импортных автомобилей и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т. д.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). В этой связи для дальнейшего развития рынка необходимо инвестировать в создание новых производств грузовых автомобилей на территории РФ. </w:t>
      </w:r>
    </w:p>
    <w:p w14:paraId="2DCEDA0A" w14:textId="17B1FEEC" w:rsidR="00097C94" w:rsidRPr="002A58D2" w:rsidRDefault="00097C94" w:rsidP="00727EB1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Китайские производители осуществляют сборку грузовых автомобилей на мощностях российских автозаводов лишь в небольших объемах и не озвучивают планов по инвестированию в развитие </w:t>
      </w:r>
      <w:r w:rsidR="007B6A9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производства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своих брендов в РФ на ближайшие годы. Выход новых игроков из других стран на российский рынок не планируется.</w:t>
      </w:r>
    </w:p>
    <w:p w14:paraId="4216964C" w14:textId="0A65FDE9" w:rsidR="00097C94" w:rsidRPr="002A58D2" w:rsidRDefault="00097C94" w:rsidP="00727EB1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В 2024–2025 гг. будут осуществляться только собственные инвестиции российских автопроизводителей в основную деятельность и государственные инвестиции в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существующие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производства грузовых автомобилей. Такие инвестиции могут привести к увеличению доли российских брендов на рынке грузовых автомобилей, но на общий объем продаж грузовых автомобилей в РФ существенно не повлияют.</w:t>
      </w:r>
    </w:p>
    <w:p w14:paraId="1F663B7C" w14:textId="23263923" w:rsidR="00B72BFE" w:rsidRPr="002A58D2" w:rsidRDefault="00472188" w:rsidP="00727EB1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Налоговая реформа 2025 г.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В 2025 г. в РФ будет проведена налоговая реформа и вырастет налоговая нагрузка на компании</w:t>
      </w:r>
      <w:r w:rsidR="006D7BB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</w:t>
      </w:r>
      <w:r w:rsidR="00A7188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индивидуальных предпринимателей</w:t>
      </w:r>
      <w:r w:rsidR="00B72BF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. Все это </w:t>
      </w:r>
      <w:r w:rsidR="00D00A5A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приведет к дальнейшему росту цен на </w:t>
      </w:r>
      <w:r w:rsidR="00677BA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грузовые </w:t>
      </w:r>
      <w:r w:rsidR="00D00A5A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автомобили, запчасти, сервисное обслуживание и </w:t>
      </w:r>
      <w:r w:rsidR="003E5AD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т. д.</w:t>
      </w:r>
      <w:r w:rsidR="00D00A5A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</w:p>
    <w:p w14:paraId="5F857910" w14:textId="07A2DFA6" w:rsidR="00B72BFE" w:rsidRPr="002A58D2" w:rsidRDefault="00624C4F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С 1</w:t>
      </w:r>
      <w:r w:rsidR="00B72BF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января 2025 г. будут проиндексированы акцизы на </w:t>
      </w:r>
      <w:r w:rsidR="00677BA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автомобильный бензин и дизельное топливо</w:t>
      </w:r>
      <w:r w:rsidR="00B72BF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</w:t>
      </w:r>
      <w:r w:rsidR="00677BA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а также тарифы на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проезд</w:t>
      </w:r>
      <w:r w:rsidR="00677BA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по автомобильным дорогам общего пользования федерального значения транспортными средствами, имеющими разрешенную максимальную массу свыше 12 тонн (система Платон), </w:t>
      </w:r>
      <w:r w:rsidR="00B72BF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что негативно скажется на стоимости владения</w:t>
      </w:r>
      <w:r w:rsidR="00677BA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грузовыми автомобилями</w:t>
      </w:r>
      <w:r w:rsidR="00B72BF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</w:t>
      </w:r>
    </w:p>
    <w:p w14:paraId="03741B90" w14:textId="0D7C55A4" w:rsidR="00CF79B6" w:rsidRPr="002A58D2" w:rsidRDefault="00B72BFE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На фоне роста налоговой нагрузки, высоких ставок по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автокредитам, лизингу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и роста цен</w:t>
      </w:r>
      <w:r w:rsidR="00CF79B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у ряда компаний и индивидуальных предпринимателей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снизятся финансовые возможности </w:t>
      </w:r>
      <w:r w:rsidR="003E51A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для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обновлени</w:t>
      </w:r>
      <w:r w:rsidR="003E51A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я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парков </w:t>
      </w:r>
      <w:r w:rsidR="00CF79B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грузовых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автомобилей. </w:t>
      </w:r>
    </w:p>
    <w:p w14:paraId="3AB06B42" w14:textId="1839A502" w:rsidR="00B72BFE" w:rsidRDefault="00560763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Тем не менее, существуют факторы, позволяющие сгладить негативные тенденции на рынке новых </w:t>
      </w:r>
      <w:r w:rsidR="00CF79B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грузовых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автомобилей в 2024–2025 гг.</w:t>
      </w:r>
    </w:p>
    <w:p w14:paraId="767C0428" w14:textId="77777777" w:rsidR="00727EB1" w:rsidRPr="002A58D2" w:rsidRDefault="00727EB1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</w:p>
    <w:p w14:paraId="7110A199" w14:textId="5B9D84DC" w:rsidR="007E2705" w:rsidRPr="002A58D2" w:rsidRDefault="00EB3B1C" w:rsidP="00727EB1">
      <w:pPr>
        <w:pStyle w:val="a5"/>
        <w:spacing w:before="240"/>
        <w:ind w:left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1</w:t>
      </w:r>
      <w:r w:rsidR="0047218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</w:t>
      </w:r>
      <w:r w:rsidR="00691366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E46A4E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Меры гос</w:t>
      </w:r>
      <w:r w:rsidR="00D618B0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ударственной </w:t>
      </w:r>
      <w:r w:rsidR="00E46A4E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поддержки рынка</w:t>
      </w:r>
      <w:r w:rsidR="00624C4F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грузовых автомобилей</w:t>
      </w:r>
      <w:r w:rsidR="00691366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. 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</w:p>
    <w:p w14:paraId="22D517EC" w14:textId="7D779FED" w:rsidR="00771539" w:rsidRPr="002A58D2" w:rsidRDefault="00691366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В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2024 г. </w:t>
      </w:r>
      <w:r w:rsidR="00CB0E7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для рынка</w:t>
      </w:r>
      <w:r w:rsidR="00436822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CC750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грузовых автомобилей </w:t>
      </w:r>
      <w:r w:rsidR="00CB0E7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действуют меры гос</w:t>
      </w:r>
      <w:r w:rsidR="0066611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ударственной </w:t>
      </w:r>
      <w:r w:rsidR="00CB0E7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поддержки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. </w:t>
      </w:r>
      <w:r w:rsidR="00436822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В первую очередь это программы льготного </w:t>
      </w:r>
      <w:r w:rsidR="00CC750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лизинга. Под программы льготного лизинга в 2024 г. попадают седельные тягачи и беспилотные грузовые автомобили, а не вся грузовая техника. 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На </w:t>
      </w:r>
      <w:r w:rsidR="00436822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эти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программ</w:t>
      </w:r>
      <w:r w:rsidR="00436822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ы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в 2024 г</w:t>
      </w:r>
      <w:r w:rsidR="002F08B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оду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было выделено </w:t>
      </w:r>
      <w:r w:rsidR="00B72BF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17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8334A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млрд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8334A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руб.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(седельные тягачи, </w:t>
      </w:r>
      <w:r w:rsidR="00F13FBA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беспилотные грузовые автомобили, 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автобусы, микроавтобусы, электромобили). </w:t>
      </w:r>
      <w:r w:rsidR="00CB0E7C" w:rsidRPr="002A58D2">
        <w:rPr>
          <w:rFonts w:asciiTheme="majorHAnsi" w:hAnsiTheme="majorHAnsi" w:cstheme="majorHAnsi"/>
          <w:b w:val="0"/>
          <w:bCs/>
          <w:color w:val="000000" w:themeColor="text1"/>
          <w:sz w:val="20"/>
          <w:szCs w:val="20"/>
        </w:rPr>
        <w:t>В 2025 г</w:t>
      </w:r>
      <w:r w:rsidR="002F08BE" w:rsidRPr="002A58D2">
        <w:rPr>
          <w:rFonts w:asciiTheme="majorHAnsi" w:hAnsiTheme="majorHAnsi" w:cstheme="majorHAnsi"/>
          <w:b w:val="0"/>
          <w:bCs/>
          <w:color w:val="000000" w:themeColor="text1"/>
          <w:sz w:val="20"/>
          <w:szCs w:val="20"/>
        </w:rPr>
        <w:t>оду</w:t>
      </w:r>
      <w:r w:rsidR="00CB0E7C" w:rsidRPr="002A58D2">
        <w:rPr>
          <w:rFonts w:asciiTheme="majorHAnsi" w:hAnsiTheme="majorHAnsi" w:cstheme="majorHAnsi"/>
          <w:b w:val="0"/>
          <w:bCs/>
          <w:color w:val="000000" w:themeColor="text1"/>
          <w:sz w:val="20"/>
          <w:szCs w:val="20"/>
        </w:rPr>
        <w:t xml:space="preserve"> действие программ льготного лизинга </w:t>
      </w:r>
      <w:r w:rsidR="00B5200B" w:rsidRPr="002A58D2">
        <w:rPr>
          <w:rFonts w:asciiTheme="majorHAnsi" w:hAnsiTheme="majorHAnsi" w:cstheme="majorHAnsi"/>
          <w:b w:val="0"/>
          <w:bCs/>
          <w:color w:val="000000" w:themeColor="text1"/>
          <w:sz w:val="20"/>
          <w:szCs w:val="20"/>
        </w:rPr>
        <w:t xml:space="preserve">продолжится </w:t>
      </w:r>
      <w:r w:rsidR="00CB0E7C" w:rsidRPr="002A58D2">
        <w:rPr>
          <w:rFonts w:asciiTheme="majorHAnsi" w:hAnsiTheme="majorHAnsi" w:cstheme="majorHAnsi"/>
          <w:b w:val="0"/>
          <w:bCs/>
          <w:color w:val="000000" w:themeColor="text1"/>
          <w:sz w:val="20"/>
          <w:szCs w:val="20"/>
        </w:rPr>
        <w:t xml:space="preserve">с бюджетом в 11 млрд. руб. (все типы </w:t>
      </w:r>
      <w:r w:rsidR="0066611C" w:rsidRPr="002A58D2">
        <w:rPr>
          <w:rFonts w:asciiTheme="majorHAnsi" w:hAnsiTheme="majorHAnsi" w:cstheme="majorHAnsi"/>
          <w:b w:val="0"/>
          <w:bCs/>
          <w:color w:val="000000" w:themeColor="text1"/>
          <w:sz w:val="20"/>
          <w:szCs w:val="20"/>
        </w:rPr>
        <w:t>автомобилей</w:t>
      </w:r>
      <w:r w:rsidR="00CB0E7C" w:rsidRPr="002A58D2">
        <w:rPr>
          <w:rFonts w:asciiTheme="majorHAnsi" w:hAnsiTheme="majorHAnsi" w:cstheme="majorHAnsi"/>
          <w:b w:val="0"/>
          <w:bCs/>
          <w:color w:val="000000" w:themeColor="text1"/>
          <w:sz w:val="20"/>
          <w:szCs w:val="20"/>
        </w:rPr>
        <w:t>, которые попадут под действие программы).</w:t>
      </w:r>
    </w:p>
    <w:p w14:paraId="407044F3" w14:textId="2337A248" w:rsidR="00C47513" w:rsidRPr="002A58D2" w:rsidRDefault="00624C4F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В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2024 г</w:t>
      </w:r>
      <w:r w:rsidR="0038764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оду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CC750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грузовые </w:t>
      </w:r>
      <w:r w:rsidR="00537EC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автомобили попадают под закупки в рамках программы перевода техники 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на газомоторно</w:t>
      </w:r>
      <w:r w:rsidR="00537EC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е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топлив</w:t>
      </w:r>
      <w:r w:rsidR="00537EC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о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3E5AD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по Постановлению</w:t>
      </w:r>
      <w:r w:rsidR="00E46A4E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Правительства РФ N 669</w:t>
      </w:r>
      <w:r w:rsidR="00FC0B53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от 13.05.2020</w:t>
      </w:r>
      <w:r w:rsidR="00CC750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 а также под закупки</w:t>
      </w:r>
      <w:r w:rsidR="00CC7509" w:rsidRPr="002A58D2">
        <w:rPr>
          <w:color w:val="000000" w:themeColor="text1"/>
        </w:rPr>
        <w:t xml:space="preserve"> </w:t>
      </w:r>
      <w:r w:rsidR="00CC750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грузовой техники на всех типах топлива в рамках нац</w:t>
      </w:r>
      <w:r w:rsidR="00883751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ионального </w:t>
      </w:r>
      <w:r w:rsidR="00CC750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проекта «Безопасные качественные дороги». </w:t>
      </w:r>
      <w:r w:rsidR="00395CC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Кроме того, </w:t>
      </w:r>
      <w:r w:rsidR="00CC750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будет закупаться грузовая техника для сельского хозяйства в рамках государственной программы развития сельского хозяйства и регулирования рынков сырья и продовольствия. Однако по данной программе будет закупаться лишь небольшой объем техники на базе колесных транспортных средств</w:t>
      </w:r>
      <w:r w:rsidR="007A3ACC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</w:t>
      </w:r>
      <w:r w:rsidR="00CC750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в основном по ней закупается техника на базе тракторов и гусеничная техника.</w:t>
      </w:r>
    </w:p>
    <w:p w14:paraId="6182DAF9" w14:textId="17A214FD" w:rsidR="00A606A7" w:rsidRPr="002A58D2" w:rsidRDefault="00051A69" w:rsidP="00727EB1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2. </w:t>
      </w:r>
      <w:r w:rsidR="00DB2E3E"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Финансовые</w:t>
      </w:r>
      <w:r w:rsidRPr="002A58D2">
        <w:rPr>
          <w:rFonts w:asciiTheme="majorHAnsi" w:eastAsia="Calibri" w:hAnsiTheme="majorHAnsi" w:cstheme="majorHAnsi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программы от автопроизводителей.</w:t>
      </w:r>
      <w:r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A606A7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Автопроизводители </w:t>
      </w:r>
      <w:r w:rsidR="00624C4F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и лизинговые компании </w:t>
      </w:r>
      <w:r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на фоне повышения ключевой ставки разрабатывают и предлагают покупателям свои </w:t>
      </w:r>
      <w:r w:rsidR="00A606A7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кредитные </w:t>
      </w:r>
      <w:r w:rsidR="00624C4F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и лизинговые </w:t>
      </w:r>
      <w:r w:rsidR="00A606A7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программы по более </w:t>
      </w:r>
      <w:r w:rsidR="008F4108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привлекательным процентным</w:t>
      </w:r>
      <w:r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A606A7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ставк</w:t>
      </w:r>
      <w:r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ам</w:t>
      </w:r>
      <w:r w:rsidR="00426BA5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, чем стандартные ставки у банков</w:t>
      </w:r>
      <w:r w:rsidR="004C47AD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и лизинговых компаний</w:t>
      </w:r>
      <w:r w:rsidR="00A606A7"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  <w:r w:rsidRPr="002A58D2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</w:p>
    <w:p w14:paraId="08ECB99A" w14:textId="71E6D4D1" w:rsidR="000338D0" w:rsidRPr="002A58D2" w:rsidRDefault="00426BA5" w:rsidP="00727EB1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3</w:t>
      </w:r>
      <w:r w:rsidR="00B5200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</w:t>
      </w:r>
      <w:r w:rsidR="00C47513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Стандартные циклы замещения </w:t>
      </w:r>
      <w:r w:rsidR="00624C4F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грузовых автомобилей</w:t>
      </w:r>
      <w:r w:rsidR="00C47513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. </w:t>
      </w:r>
      <w:r w:rsidR="00C47513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В 2024 и 2025 г</w:t>
      </w:r>
      <w:r w:rsidR="008551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одах</w:t>
      </w:r>
      <w:r w:rsidR="00C47513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будет происходить выбытие из </w:t>
      </w:r>
      <w:r w:rsidR="003E5AD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парков </w:t>
      </w:r>
      <w:r w:rsidR="00ED78D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корпоративных </w:t>
      </w:r>
      <w:r w:rsidR="00C6292D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и частных </w:t>
      </w:r>
      <w:r w:rsidR="000F4FA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автовладельцев старой</w:t>
      </w:r>
      <w:r w:rsidR="00C47513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изношенной и аварийной техники и замещение ее на новую технику. </w:t>
      </w:r>
    </w:p>
    <w:p w14:paraId="51F0C71E" w14:textId="075C49F3" w:rsidR="000338D0" w:rsidRPr="002A58D2" w:rsidRDefault="000338D0" w:rsidP="00727EB1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4. </w:t>
      </w:r>
      <w:bookmarkStart w:id="1" w:name="_Hlk182430523"/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Рост расстояний и объемов грузоперевозок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. </w:t>
      </w:r>
      <w:bookmarkEnd w:id="1"/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В связи с санкциями фактически закрылось западное направление для автомобильных перевозок. Страны ЕС перестали пропускать автотранспорт, зарегистрированный в России и Белоруссии, еще с апреля 2022 г., запрет коснулся даже транзитных перевозок (за исключением транзита в Калининградскую область). В 2022–2024 гг. логистические компании активно стали использовать альтернативные пути доставки грузов в РФ (маршрут через Республику Беларусь, Турецкий хаб, Шелковый путь (Россия – Казахстан – Китай) и др.). Увеличение расстояний транспортировки приводит к увеличению сроков перевозки грузов, что требует дополнительно</w:t>
      </w:r>
      <w:r w:rsidR="00417FF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го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количеств</w:t>
      </w:r>
      <w:r w:rsidR="00417FF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грузового автотранспорта.</w:t>
      </w:r>
    </w:p>
    <w:p w14:paraId="4C33EC64" w14:textId="343B90FF" w:rsidR="000338D0" w:rsidRPr="002A58D2" w:rsidRDefault="00A93C84" w:rsidP="00727EB1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Кроме того, в</w:t>
      </w:r>
      <w:r w:rsidR="000338D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2024 -2025 гг. ожидается рост грузооборота автомобильного транспорта. В январе – сентябре 2024 г.  грузооборот автомобильного транспорта (все типы ТС) вырос на 7,7%.</w:t>
      </w:r>
    </w:p>
    <w:p w14:paraId="299B02C3" w14:textId="7FE9BBBC" w:rsidR="008D5ADB" w:rsidRPr="002A58D2" w:rsidRDefault="000338D0" w:rsidP="00727EB1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5. </w:t>
      </w: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Развитие вновь присоединенных к РФ территорий (ДНР, ЛНР, Херсонской и Запорожской областей).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Для новых территорий требуется закупка новой грузовой техники для осуществления строительных работ, восстановления коммунальной инфраструктуры и обеспечения транспортировки грузов.</w:t>
      </w:r>
    </w:p>
    <w:p w14:paraId="69029045" w14:textId="77777777" w:rsidR="000338D0" w:rsidRPr="002A58D2" w:rsidRDefault="000338D0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Согласно всем сценариям прогноза на российском рынке грузовых автомобилей в 2024 -2025 гг. продолжат продаваться в основном российские, китайские и белорусские бренды. Также будут продаваться новые автомобили, ввозимые по параллельному импорту, и автомобили иностранных брендов, произведенные на территории КНР и «дружественных» стран по отношению к РФ.</w:t>
      </w:r>
    </w:p>
    <w:p w14:paraId="4A99464B" w14:textId="70D7E197" w:rsidR="004C7406" w:rsidRPr="002A58D2" w:rsidRDefault="004C7406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В 2024 </w:t>
      </w:r>
      <w:r w:rsidR="007470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-2025 г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г. прогнозируется изменение структуры продаж новых грузовых автомобилей. </w:t>
      </w:r>
    </w:p>
    <w:p w14:paraId="752A7ABE" w14:textId="77777777" w:rsidR="004C7406" w:rsidRPr="002A58D2" w:rsidRDefault="004C7406" w:rsidP="00727EB1">
      <w:pPr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Седельные тягачи</w:t>
      </w:r>
    </w:p>
    <w:p w14:paraId="79B3C082" w14:textId="080E375A" w:rsidR="004C7406" w:rsidRPr="002A58D2" w:rsidRDefault="004365DE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На </w:t>
      </w:r>
      <w:r w:rsidR="007470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</w:t>
      </w:r>
      <w:r w:rsidR="00FC6ED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родажи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седельных тягачей в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2023–2024 г.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оказал </w:t>
      </w:r>
      <w:r w:rsidR="00FC6ED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положительное влияние р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ост расстояний и объемов грузоперевозок</w:t>
      </w:r>
      <w:r w:rsidR="00007A9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реализация</w:t>
      </w:r>
      <w:r w:rsidR="00007A9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программы льготного автомобильного лизинга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а также отложенный спрос, вызванный </w:t>
      </w:r>
      <w:r w:rsidR="00E44439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дефицитом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седельных тягаче</w:t>
      </w:r>
      <w:r w:rsidR="00C046E8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й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в 2022 г. </w:t>
      </w:r>
      <w:r w:rsidR="00E23E2D" w:rsidRPr="002A58D2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родажи седельных тягачей 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в 2025 г. </w:t>
      </w:r>
      <w:r w:rsidR="00007A9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7470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могут 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сократ</w:t>
      </w:r>
      <w:r w:rsidR="007470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и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т</w:t>
      </w:r>
      <w:r w:rsidR="0074709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ь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ся по базовому, оптимистичному и пессимистичному сценарию прогноза. Это связано с перенасыщением рынка седельных тягачей в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2023–2024 гг.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Отложенный спрос в новых тягачах 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был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удовлетворен 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в 2023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-2024 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г. и в новом 202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5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г. потребуется закупка уже меньшего объема техники.</w:t>
      </w:r>
    </w:p>
    <w:p w14:paraId="39F47D92" w14:textId="3C464985" w:rsidR="00747094" w:rsidRPr="002A58D2" w:rsidRDefault="00747094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Также негативно</w:t>
      </w:r>
      <w:r w:rsidR="00DE7E7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е </w:t>
      </w:r>
      <w:r w:rsidR="007B5F22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влияние в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2025 г. на продажи седельных тягачей окажут высокие ставки по кредиту и лизингу, рост утилизационного сбора на эту технику и ужесточение условий ее сертификации.</w:t>
      </w:r>
    </w:p>
    <w:p w14:paraId="7FED343B" w14:textId="77777777" w:rsidR="004C7406" w:rsidRPr="002A58D2" w:rsidRDefault="004C7406" w:rsidP="00727EB1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color w:val="000000" w:themeColor="text1"/>
          <w:sz w:val="20"/>
          <w:szCs w:val="20"/>
        </w:rPr>
        <w:t>Самосвалы</w:t>
      </w:r>
    </w:p>
    <w:p w14:paraId="7A2EF41C" w14:textId="3ABD322B" w:rsidR="00F278BF" w:rsidRPr="002A58D2" w:rsidRDefault="004C7406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В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2023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г.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D02B7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было продано рекордное количество новых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самосвалов</w:t>
      </w:r>
      <w:r w:rsidR="00D02B7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за последние несколько лет. 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В 2024 г. самосвалов </w:t>
      </w:r>
      <w:r w:rsidR="00A660C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закупается значительно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меньше, чем 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в 2023 году, что свидетельствует о </w:t>
      </w:r>
      <w:r w:rsidR="00A660C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том,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что отложенный спрос на них в прошлом году был удовлетворен и техники в больших объемах не требуется</w:t>
      </w:r>
      <w:r w:rsidR="00814ACB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</w:t>
      </w:r>
      <w:r w:rsidR="00007A9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5869F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</w:p>
    <w:p w14:paraId="01928B0C" w14:textId="0B4FEB4F" w:rsidR="004C7406" w:rsidRPr="002A58D2" w:rsidRDefault="00624C4F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Ожидается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 что в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202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5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г. 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темпы жилищного</w:t>
      </w:r>
      <w:r w:rsidR="003A58B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строительства и строительства 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коммерческо</w:t>
      </w:r>
      <w:r w:rsidR="003A58B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й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3A58B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недвижимости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могут замедлиться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но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будут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осуществляться 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проекты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дорожного строительства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в рамках нац</w:t>
      </w:r>
      <w:r w:rsidR="00D02B70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ионального 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проекта «Безопасные качественные дороги» и других федеральных и муниципальных программ, а также проекты 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по восстановлению инфраструктуры во вновь присоединенных к РФ регионах (ЛНР, ДНР, Херсонской и Запорожской области).</w:t>
      </w:r>
      <w:r w:rsidR="002C062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Для реализации этих инфраструктурных проектов могут потребоваться закупки самосвалов. </w:t>
      </w:r>
    </w:p>
    <w:p w14:paraId="21E1FCF8" w14:textId="080FDD25" w:rsidR="00F278BF" w:rsidRPr="002A58D2" w:rsidRDefault="00B4762E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Тем не менее, объем</w:t>
      </w:r>
      <w:r w:rsidR="00F278B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продаж самосвалов в 2025 г. 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может немного</w:t>
      </w:r>
      <w:r w:rsidR="00F278B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сократиться на фоне общего снижения рынка грузовых автомобилей.</w:t>
      </w:r>
      <w:r w:rsidR="00F278BF" w:rsidRPr="002A58D2">
        <w:rPr>
          <w:color w:val="000000" w:themeColor="text1"/>
        </w:rPr>
        <w:t xml:space="preserve"> </w:t>
      </w:r>
      <w:r w:rsidR="00F278B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Также негативное </w:t>
      </w:r>
      <w:r w:rsidR="00CA4635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влияние в</w:t>
      </w:r>
      <w:r w:rsidR="00F278B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2025 г. на продажи самосвалов окажут высокие ставки по кредиту и лизингу, рост утилизационного сбора на эту технику и ужесточение условий ее сертификации.</w:t>
      </w:r>
    </w:p>
    <w:p w14:paraId="75630C75" w14:textId="554B6866" w:rsidR="004C7406" w:rsidRPr="002A58D2" w:rsidRDefault="00747094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Фургон</w:t>
      </w:r>
      <w:r w:rsidR="008A043F"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ы</w:t>
      </w:r>
    </w:p>
    <w:p w14:paraId="36043562" w14:textId="62B26D68" w:rsidR="00624C4F" w:rsidRPr="002A58D2" w:rsidRDefault="004C7406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Продажи фургонов в 2024 г.  </w:t>
      </w:r>
      <w:r w:rsidR="00C03BE5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вырастут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, </w:t>
      </w:r>
      <w:r w:rsidR="00C03BE5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что связано с реализацией отложенного спроса на эту технику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</w:t>
      </w:r>
      <w:r w:rsidR="00C03BE5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Иностранные производители фургонов ушли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из РФ,</w:t>
      </w:r>
      <w:r w:rsidR="00C03BE5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и эта техника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постепенно</w:t>
      </w:r>
      <w:r w:rsidR="00C03BE5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замещается российскими и китайскими брендами. </w:t>
      </w:r>
    </w:p>
    <w:p w14:paraId="73E1D9AC" w14:textId="08A16A75" w:rsidR="004C7406" w:rsidRPr="002A58D2" w:rsidRDefault="00C03BE5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К 2025 г. отложенный спрос на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фургоны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будет реализован и продажи этой техники могут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немного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сократиться.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Резкого роста в логистике в </w:t>
      </w:r>
      <w:r w:rsidR="00624C4F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будущем году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не ожидается, а специальных государственных программ по обновлению этой техники нет</w:t>
      </w:r>
      <w:r w:rsidR="001C448D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</w:t>
      </w:r>
      <w:r w:rsidR="004C7406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</w:t>
      </w:r>
    </w:p>
    <w:p w14:paraId="15CEF69A" w14:textId="16B1941D" w:rsidR="00007A97" w:rsidRPr="002A58D2" w:rsidRDefault="00C03BE5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Также негативно</w:t>
      </w:r>
      <w:r w:rsidR="00FB69C4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е влияние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в 2025 г. на продажи </w:t>
      </w:r>
      <w:r w:rsidR="00007A97"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фургонов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окажут высокие ставки по кредиту и лизингу, рост утилизационного сбора на эту технику и ужесточение условий ее сертификации.</w:t>
      </w:r>
    </w:p>
    <w:p w14:paraId="5B469B7E" w14:textId="367A3094" w:rsidR="00F7685B" w:rsidRPr="002A58D2" w:rsidRDefault="00F7685B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2A58D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Базовый сценарий прогноза</w:t>
      </w:r>
      <w:r w:rsidRPr="002A58D2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предполагает:</w:t>
      </w:r>
    </w:p>
    <w:p w14:paraId="3EC82A4F" w14:textId="77777777" w:rsidR="00F7685B" w:rsidRPr="004D4D9A" w:rsidRDefault="00F7685B" w:rsidP="00727EB1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2024 г.</w:t>
      </w:r>
    </w:p>
    <w:p w14:paraId="200BE401" w14:textId="04F596E5" w:rsidR="00F7685B" w:rsidRPr="004D4D9A" w:rsidRDefault="00F7685B" w:rsidP="00727EB1">
      <w:pPr>
        <w:spacing w:after="0"/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- ключевая ставк</w:t>
      </w:r>
      <w:r w:rsidR="00DE10A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ЦБ РФ может быть увеличена на 1–2 процентных пункта </w:t>
      </w:r>
      <w:r w:rsidR="00EB0786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после 20 декабря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2024 г., что приведет к дальнейшему удорожанию кредита и лизинга,</w:t>
      </w:r>
    </w:p>
    <w:p w14:paraId="66DF9E6F" w14:textId="01C5303A" w:rsidR="00F7685B" w:rsidRPr="004D4D9A" w:rsidRDefault="00F7685B" w:rsidP="00727EB1">
      <w:pPr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 макроэкономическая ситуация в стране останется не</w:t>
      </w:r>
      <w:r w:rsidR="0057680D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простой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. ВВП за 2024 г. может вырасти на 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3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0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% по сравнению с уровнем 2023 г., инфляция составит 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8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2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%.</w:t>
      </w:r>
    </w:p>
    <w:p w14:paraId="2BCE00F6" w14:textId="77777777" w:rsidR="00F7685B" w:rsidRPr="004D4D9A" w:rsidRDefault="00F7685B" w:rsidP="00727EB1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2025 г. </w:t>
      </w:r>
    </w:p>
    <w:p w14:paraId="1907B8C8" w14:textId="0881852F" w:rsidR="00F7685B" w:rsidRPr="004D4D9A" w:rsidRDefault="00F7685B" w:rsidP="00727EB1">
      <w:pPr>
        <w:spacing w:after="0"/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 ключевая ставк</w:t>
      </w:r>
      <w:r w:rsidR="00DE10A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ЦБ РФ в 2025 г. останется </w:t>
      </w:r>
      <w:r w:rsidR="00EB0786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на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уровне </w:t>
      </w:r>
      <w:r w:rsidR="00AC7A01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декабря 2024 г.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 кредит и лизинг транспортных средств останется дорогим,</w:t>
      </w:r>
    </w:p>
    <w:p w14:paraId="2C41A1A1" w14:textId="0E8EB8FE" w:rsidR="00075985" w:rsidRPr="004D4D9A" w:rsidRDefault="00F7685B" w:rsidP="00727EB1">
      <w:pPr>
        <w:pStyle w:val="a5"/>
        <w:ind w:left="0"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 макроэкономическая ситуация в стране останется не</w:t>
      </w:r>
      <w:r w:rsidR="003D451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простой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 ВВП за 2025 г. может вырасти на 1,6% по сравнению с уровнем 2024 г., инфляция составит 5,</w:t>
      </w:r>
      <w:r w:rsidR="00411CFE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0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%.</w:t>
      </w:r>
    </w:p>
    <w:p w14:paraId="1C66CBE5" w14:textId="77777777" w:rsidR="00F7685B" w:rsidRPr="004D4D9A" w:rsidRDefault="00F7685B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Оптимистичный сценарий прогноза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предполагает:</w:t>
      </w:r>
    </w:p>
    <w:p w14:paraId="2EA8DECB" w14:textId="77777777" w:rsidR="00F7685B" w:rsidRPr="004D4D9A" w:rsidRDefault="00F7685B" w:rsidP="00727EB1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2024 г.</w:t>
      </w:r>
    </w:p>
    <w:p w14:paraId="1F77D9FB" w14:textId="7D5AF61D" w:rsidR="00F7685B" w:rsidRPr="004D4D9A" w:rsidRDefault="00F7685B" w:rsidP="00727EB1">
      <w:pPr>
        <w:spacing w:after="0"/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- ключевая ставк</w:t>
      </w:r>
      <w:r w:rsidR="00DE10A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ЦБ РФ </w:t>
      </w:r>
      <w:bookmarkStart w:id="2" w:name="_Hlk181576090"/>
      <w:r w:rsidR="00EB0786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после 20 декабря 2024 г. </w:t>
      </w:r>
      <w:bookmarkEnd w:id="2"/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останется на уровне </w:t>
      </w:r>
      <w:r w:rsidR="00EB0786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21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% и </w:t>
      </w:r>
      <w:r w:rsidR="00EB0786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дополнительного 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удорожания кредита и лизинга не </w:t>
      </w:r>
      <w:r w:rsidR="00285E49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произойдет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</w:t>
      </w:r>
    </w:p>
    <w:p w14:paraId="0C310F58" w14:textId="490E4103" w:rsidR="00F7685B" w:rsidRPr="004D4D9A" w:rsidRDefault="00F7685B" w:rsidP="00727EB1">
      <w:pPr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 макроэкономическая ситуация в стране останется не</w:t>
      </w:r>
      <w:r w:rsidR="003D451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простой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. ВВП за 2024 г. может вырасти на </w:t>
      </w:r>
      <w:r w:rsidR="00D747BA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3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</w:t>
      </w:r>
      <w:r w:rsidR="00D747BA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3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% по сравнению с уровнем 2023 г., инфляция составит 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8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0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%.</w:t>
      </w:r>
    </w:p>
    <w:p w14:paraId="512665E1" w14:textId="77777777" w:rsidR="00F7685B" w:rsidRPr="004D4D9A" w:rsidRDefault="00F7685B" w:rsidP="00727EB1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2025 г. </w:t>
      </w:r>
    </w:p>
    <w:p w14:paraId="491F4A72" w14:textId="37FBF617" w:rsidR="00F7685B" w:rsidRPr="004D4D9A" w:rsidRDefault="00F7685B" w:rsidP="00727EB1">
      <w:pPr>
        <w:spacing w:after="0"/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 ключевая ставка ЦБ РФ может снизит</w:t>
      </w:r>
      <w:r w:rsidR="000A0A99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ь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ся на несколько процентных пунктов в 2025 г., кредит и лизинг транспортных средств станет доступнее,</w:t>
      </w:r>
    </w:p>
    <w:p w14:paraId="5077CBDC" w14:textId="401B737E" w:rsidR="00F7685B" w:rsidRPr="004D4D9A" w:rsidRDefault="00F7685B" w:rsidP="00727EB1">
      <w:pPr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</w:t>
      </w:r>
      <w:r w:rsidRPr="004D4D9A">
        <w:rPr>
          <w:rFonts w:asciiTheme="majorHAnsi" w:eastAsia="Calibri" w:hAnsiTheme="majorHAnsi" w:cstheme="majorHAnsi"/>
          <w:b w:val="0"/>
          <w:color w:val="000000" w:themeColor="text1"/>
          <w:sz w:val="20"/>
          <w:szCs w:val="20"/>
        </w:rPr>
        <w:t xml:space="preserve"> 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макроэкономическая ситуация в стране останется не</w:t>
      </w:r>
      <w:r w:rsidR="003D451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простой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 ВВП за 202</w:t>
      </w:r>
      <w:r w:rsidR="00350763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5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г. может вырасти на </w:t>
      </w:r>
      <w:r w:rsidR="00411CFE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1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</w:t>
      </w:r>
      <w:r w:rsidR="00411CFE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9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% по сравнению с уровнем 2024 г., инфляция составит 4,</w:t>
      </w:r>
      <w:r w:rsidR="00411CFE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5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%. </w:t>
      </w:r>
    </w:p>
    <w:p w14:paraId="5A160DC8" w14:textId="77777777" w:rsidR="00F7685B" w:rsidRPr="004D4D9A" w:rsidRDefault="00F7685B" w:rsidP="00727EB1">
      <w:pPr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Пессимистичный сценарий прогноза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предполагает:</w:t>
      </w:r>
    </w:p>
    <w:p w14:paraId="1B1B8B46" w14:textId="77777777" w:rsidR="00F7685B" w:rsidRPr="004D4D9A" w:rsidRDefault="00F7685B" w:rsidP="00510C5B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2024 г.</w:t>
      </w:r>
    </w:p>
    <w:p w14:paraId="0ABAB933" w14:textId="4B48D6FC" w:rsidR="00F7685B" w:rsidRPr="004D4D9A" w:rsidRDefault="00F7685B" w:rsidP="00510C5B">
      <w:pPr>
        <w:spacing w:after="0"/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- ключевая ставк</w:t>
      </w:r>
      <w:r w:rsidR="00DE10A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ЦБ РФ </w:t>
      </w:r>
      <w:r w:rsidR="00EB0786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после 20 декабря 2024 г. 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может быть увеличена более чем на 2 процентных пункта, что приведет к дальнейшему удорожанию кредита и лизинга транспортных средств,</w:t>
      </w:r>
    </w:p>
    <w:p w14:paraId="467A3C79" w14:textId="25B05616" w:rsidR="00F7685B" w:rsidRPr="004D4D9A" w:rsidRDefault="00F7685B" w:rsidP="00727EB1">
      <w:pPr>
        <w:ind w:firstLine="284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 макроэкономическая ситуация в стране останется не</w:t>
      </w:r>
      <w:r w:rsidR="00524532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простой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. ВВП за 2024 г. может вырасти на 2,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8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% по сравнению с уровнем 2023 г., инфляция составит 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8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</w:t>
      </w:r>
      <w:r w:rsidR="007E555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5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%.</w:t>
      </w:r>
    </w:p>
    <w:p w14:paraId="5A6EC446" w14:textId="77777777" w:rsidR="00F7685B" w:rsidRPr="004D4D9A" w:rsidRDefault="00F7685B" w:rsidP="00510C5B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2025 г. </w:t>
      </w:r>
    </w:p>
    <w:p w14:paraId="666C94DC" w14:textId="14956884" w:rsidR="00F7685B" w:rsidRPr="004D4D9A" w:rsidRDefault="00F7685B" w:rsidP="00510C5B">
      <w:pPr>
        <w:spacing w:after="0"/>
        <w:ind w:firstLine="284"/>
        <w:jc w:val="both"/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</w:pP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- ключевая ставк</w:t>
      </w:r>
      <w:r w:rsidR="00DE10A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а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ЦБ РФ продолжит расти в 2025 г.</w:t>
      </w:r>
      <w:r w:rsidR="003E5AD4"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>, следовательно</w:t>
      </w:r>
      <w:r w:rsidRPr="004D4D9A">
        <w:rPr>
          <w:rFonts w:asciiTheme="majorHAnsi" w:hAnsiTheme="majorHAnsi" w:cstheme="majorHAnsi"/>
          <w:b w:val="0"/>
          <w:color w:val="000000" w:themeColor="text1"/>
          <w:sz w:val="20"/>
          <w:szCs w:val="20"/>
        </w:rPr>
        <w:t xml:space="preserve"> процентные ставки по кредиту и лизингу будут расти,</w:t>
      </w:r>
    </w:p>
    <w:p w14:paraId="3F7B8A8B" w14:textId="77777777" w:rsidR="00560763" w:rsidRPr="00560763" w:rsidRDefault="00560763" w:rsidP="00727EB1">
      <w:pPr>
        <w:spacing w:line="240" w:lineRule="auto"/>
        <w:ind w:right="141" w:firstLine="284"/>
        <w:rPr>
          <w:rFonts w:asciiTheme="majorHAnsi" w:eastAsia="Calibri" w:hAnsiTheme="majorHAnsi" w:cstheme="majorHAnsi"/>
          <w:b w:val="0"/>
          <w:color w:val="000000" w:themeColor="text1"/>
          <w:sz w:val="20"/>
        </w:rPr>
      </w:pPr>
      <w:r w:rsidRPr="00560763">
        <w:rPr>
          <w:rFonts w:asciiTheme="majorHAnsi" w:eastAsia="Calibri" w:hAnsiTheme="majorHAnsi" w:cstheme="majorHAnsi"/>
          <w:b w:val="0"/>
          <w:color w:val="000000" w:themeColor="text1"/>
          <w:sz w:val="20"/>
        </w:rPr>
        <w:t>- макроэкономическая ситуация в стране останется непростой. ВВП за 2025 г. может вырасти на 1,4% по сравнению с уровнем 2024 г., инфляция составит 6,2%.</w:t>
      </w:r>
    </w:p>
    <w:p w14:paraId="45493A56" w14:textId="6E904354" w:rsidR="00560763" w:rsidRPr="00510889" w:rsidRDefault="00560763" w:rsidP="00736E9F">
      <w:pPr>
        <w:spacing w:before="480" w:after="240" w:line="240" w:lineRule="auto"/>
        <w:ind w:right="142"/>
        <w:jc w:val="center"/>
        <w:rPr>
          <w:rFonts w:asciiTheme="majorHAnsi" w:eastAsia="Calibri" w:hAnsiTheme="majorHAnsi" w:cstheme="majorHAnsi"/>
          <w:bCs/>
          <w:color w:val="0070C0"/>
          <w:sz w:val="20"/>
        </w:rPr>
      </w:pPr>
      <w:r w:rsidRPr="00510889">
        <w:rPr>
          <w:rFonts w:asciiTheme="majorHAnsi" w:eastAsia="Calibri" w:hAnsiTheme="majorHAnsi" w:cstheme="majorHAnsi"/>
          <w:bCs/>
          <w:color w:val="0070C0"/>
          <w:sz w:val="20"/>
        </w:rPr>
        <w:t xml:space="preserve">Прогноз продаж новых </w:t>
      </w:r>
      <w:r w:rsidR="00814ACB" w:rsidRPr="00510889">
        <w:rPr>
          <w:rFonts w:asciiTheme="majorHAnsi" w:eastAsia="Calibri" w:hAnsiTheme="majorHAnsi" w:cstheme="majorHAnsi"/>
          <w:bCs/>
          <w:color w:val="0070C0"/>
          <w:sz w:val="20"/>
        </w:rPr>
        <w:t xml:space="preserve">грузовых </w:t>
      </w:r>
      <w:r w:rsidRPr="00510889">
        <w:rPr>
          <w:rFonts w:asciiTheme="majorHAnsi" w:eastAsia="Calibri" w:hAnsiTheme="majorHAnsi" w:cstheme="majorHAnsi"/>
          <w:bCs/>
          <w:color w:val="0070C0"/>
          <w:sz w:val="20"/>
        </w:rPr>
        <w:t>автомобилей в 2024–2025 гг.</w:t>
      </w:r>
    </w:p>
    <w:tbl>
      <w:tblPr>
        <w:tblStyle w:val="27"/>
        <w:tblW w:w="5048" w:type="pct"/>
        <w:tblInd w:w="-2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1863"/>
        <w:gridCol w:w="1697"/>
        <w:gridCol w:w="1871"/>
        <w:gridCol w:w="1694"/>
      </w:tblGrid>
      <w:tr w:rsidR="00727EB1" w:rsidRPr="00510889" w14:paraId="37DF28FD" w14:textId="77777777" w:rsidTr="00727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</w:tcMar>
            <w:hideMark/>
          </w:tcPr>
          <w:p w14:paraId="72A1498C" w14:textId="2952EC3F" w:rsidR="00004325" w:rsidRPr="00510889" w:rsidRDefault="00004325" w:rsidP="00C63CAC">
            <w:pPr>
              <w:autoSpaceDE w:val="0"/>
              <w:autoSpaceDN w:val="0"/>
              <w:adjustRightInd w:val="0"/>
              <w:ind w:right="-104"/>
              <w:contextualSpacing/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</w:pP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Прогноз продаж, </w:t>
            </w:r>
            <w:r w:rsidR="00560763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br/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сценарий</w:t>
            </w:r>
          </w:p>
        </w:tc>
        <w:tc>
          <w:tcPr>
            <w:tcW w:w="9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</w:tcMar>
            <w:vAlign w:val="center"/>
            <w:hideMark/>
          </w:tcPr>
          <w:p w14:paraId="308F7D97" w14:textId="1B9021B5" w:rsidR="00004325" w:rsidRPr="00510889" w:rsidRDefault="00004325" w:rsidP="00560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</w:pP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Прогноз продаж </w:t>
            </w:r>
            <w:r w:rsidR="00C63CAC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br/>
            </w:r>
            <w:r w:rsidR="00814ACB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грузовых</w:t>
            </w:r>
            <w:r w:rsidR="00C63CAC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 </w:t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автомобилей</w:t>
            </w:r>
            <w:r w:rsidR="00C63CAC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br/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в 2024 г.</w:t>
            </w:r>
            <w:r w:rsidR="003E5AD4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, тыс.</w:t>
            </w:r>
            <w:r w:rsidR="002347F8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 </w:t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</w:tcMar>
            <w:vAlign w:val="center"/>
            <w:hideMark/>
          </w:tcPr>
          <w:p w14:paraId="0BD1DBE8" w14:textId="358BE751" w:rsidR="00004325" w:rsidRPr="00510889" w:rsidRDefault="00004325" w:rsidP="00560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</w:pP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Прирост/ убыль, </w:t>
            </w:r>
            <w:r w:rsidR="00727EB1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br/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2024/2023, %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right w:val="nil"/>
            </w:tcBorders>
            <w:tcMar>
              <w:left w:w="0" w:type="dxa"/>
            </w:tcMar>
            <w:vAlign w:val="center"/>
          </w:tcPr>
          <w:p w14:paraId="0CEE02CA" w14:textId="7F1546AC" w:rsidR="00004325" w:rsidRPr="00510889" w:rsidRDefault="00004325" w:rsidP="00C63C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color w:val="FFFFFF"/>
                <w:sz w:val="18"/>
              </w:rPr>
            </w:pP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Прогноз продаж </w:t>
            </w:r>
            <w:r w:rsidR="00560763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br/>
            </w:r>
            <w:r w:rsidR="00814ACB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грузовых</w:t>
            </w:r>
            <w:r w:rsidR="00C63CAC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 </w:t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автомобилей </w:t>
            </w:r>
            <w:r w:rsidR="00C63CAC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br/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в 2025 г., </w:t>
            </w:r>
            <w:r w:rsidR="002347F8"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 xml:space="preserve">тыс. </w:t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шт.</w:t>
            </w:r>
          </w:p>
        </w:tc>
        <w:tc>
          <w:tcPr>
            <w:tcW w:w="897" w:type="pct"/>
            <w:tcBorders>
              <w:top w:val="single" w:sz="4" w:space="0" w:color="FFFFFF"/>
              <w:left w:val="single" w:sz="4" w:space="0" w:color="FFFFFF"/>
              <w:right w:val="nil"/>
            </w:tcBorders>
            <w:tcMar>
              <w:left w:w="0" w:type="dxa"/>
            </w:tcMar>
            <w:vAlign w:val="center"/>
          </w:tcPr>
          <w:p w14:paraId="21EDB901" w14:textId="51F4BA3A" w:rsidR="00004325" w:rsidRPr="00510889" w:rsidRDefault="00004325" w:rsidP="00C63C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color w:val="FFFFFF"/>
                <w:sz w:val="18"/>
              </w:rPr>
            </w:pP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Прирост/ убыль,</w:t>
            </w:r>
            <w:r w:rsidR="00727EB1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br/>
            </w:r>
            <w:r w:rsidRPr="00510889">
              <w:rPr>
                <w:rFonts w:asciiTheme="majorHAnsi" w:eastAsia="Arial" w:hAnsiTheme="majorHAnsi" w:cstheme="majorHAnsi"/>
                <w:b/>
                <w:color w:val="FFFFFF"/>
                <w:sz w:val="18"/>
              </w:rPr>
              <w:t>2025/2024, %</w:t>
            </w:r>
          </w:p>
        </w:tc>
      </w:tr>
      <w:tr w:rsidR="00727EB1" w:rsidRPr="00510889" w14:paraId="1FF06AFC" w14:textId="77777777" w:rsidTr="00736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pct"/>
            <w:tcBorders>
              <w:top w:val="single" w:sz="4" w:space="0" w:color="FFFFFF"/>
              <w:left w:val="single" w:sz="2" w:space="0" w:color="D9E2F3"/>
              <w:bottom w:val="single" w:sz="4" w:space="0" w:color="EBEBF0"/>
              <w:right w:val="single" w:sz="4" w:space="0" w:color="EBEBF0"/>
            </w:tcBorders>
            <w:hideMark/>
          </w:tcPr>
          <w:p w14:paraId="073452A5" w14:textId="77777777" w:rsidR="00004325" w:rsidRPr="00510889" w:rsidRDefault="00004325" w:rsidP="00C63CAC">
            <w:pPr>
              <w:autoSpaceDE w:val="0"/>
              <w:autoSpaceDN w:val="0"/>
              <w:adjustRightInd w:val="0"/>
              <w:ind w:right="-104"/>
              <w:contextualSpacing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510889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Оптимистичный сценарий</w:t>
            </w:r>
          </w:p>
        </w:tc>
        <w:tc>
          <w:tcPr>
            <w:tcW w:w="987" w:type="pct"/>
            <w:tcBorders>
              <w:top w:val="single" w:sz="4" w:space="0" w:color="FFFFFF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7D534A85" w14:textId="4AC69D7D" w:rsidR="00004325" w:rsidRPr="00510889" w:rsidRDefault="0019194F" w:rsidP="00C63CAC">
            <w:pPr>
              <w:ind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1088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137882</w:t>
            </w:r>
          </w:p>
        </w:tc>
        <w:tc>
          <w:tcPr>
            <w:tcW w:w="899" w:type="pct"/>
            <w:tcBorders>
              <w:top w:val="single" w:sz="4" w:space="0" w:color="FFFFFF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7F5ED490" w14:textId="1CF0FCF4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510889">
              <w:rPr>
                <w:rFonts w:asciiTheme="majorHAnsi" w:hAnsiTheme="majorHAnsi" w:cstheme="majorHAnsi"/>
                <w:sz w:val="18"/>
                <w:szCs w:val="18"/>
              </w:rPr>
              <w:t>-4,14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740D8914" w14:textId="61489707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510889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126718</w:t>
            </w:r>
          </w:p>
        </w:tc>
        <w:tc>
          <w:tcPr>
            <w:tcW w:w="897" w:type="pct"/>
            <w:tcBorders>
              <w:top w:val="single" w:sz="4" w:space="0" w:color="FFFFFF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4650AC57" w14:textId="723CBAE9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510889">
              <w:rPr>
                <w:rFonts w:asciiTheme="majorHAnsi" w:hAnsiTheme="majorHAnsi" w:cstheme="majorHAnsi"/>
                <w:sz w:val="18"/>
                <w:szCs w:val="18"/>
              </w:rPr>
              <w:t>-8,10</w:t>
            </w:r>
          </w:p>
        </w:tc>
      </w:tr>
      <w:tr w:rsidR="00727EB1" w:rsidRPr="00510889" w14:paraId="108E922B" w14:textId="77777777" w:rsidTr="00736E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pct"/>
            <w:tcBorders>
              <w:top w:val="single" w:sz="4" w:space="0" w:color="EBEBF0"/>
              <w:left w:val="single" w:sz="2" w:space="0" w:color="D9E2F3"/>
              <w:bottom w:val="single" w:sz="4" w:space="0" w:color="EBEBF0"/>
              <w:right w:val="single" w:sz="4" w:space="0" w:color="EBEBF0"/>
            </w:tcBorders>
            <w:hideMark/>
          </w:tcPr>
          <w:p w14:paraId="6545162B" w14:textId="77777777" w:rsidR="00004325" w:rsidRPr="00510889" w:rsidRDefault="00004325" w:rsidP="00C63CAC">
            <w:pPr>
              <w:autoSpaceDE w:val="0"/>
              <w:autoSpaceDN w:val="0"/>
              <w:adjustRightInd w:val="0"/>
              <w:ind w:right="-104"/>
              <w:contextualSpacing/>
              <w:rPr>
                <w:rFonts w:asciiTheme="majorHAnsi" w:eastAsia="Arial" w:hAnsiTheme="majorHAnsi" w:cstheme="majorHAnsi"/>
                <w:color w:val="000000"/>
                <w:sz w:val="18"/>
              </w:rPr>
            </w:pPr>
            <w:r w:rsidRPr="00510889">
              <w:rPr>
                <w:rFonts w:asciiTheme="majorHAnsi" w:eastAsia="Arial" w:hAnsiTheme="majorHAnsi" w:cstheme="majorHAnsi"/>
                <w:color w:val="000000"/>
                <w:sz w:val="18"/>
              </w:rPr>
              <w:t>Базовый сценарий</w:t>
            </w:r>
          </w:p>
        </w:tc>
        <w:tc>
          <w:tcPr>
            <w:tcW w:w="987" w:type="pct"/>
            <w:tcBorders>
              <w:top w:val="single" w:sz="4" w:space="0" w:color="EBEBF0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26705A8C" w14:textId="10532E55" w:rsidR="00004325" w:rsidRPr="00510889" w:rsidRDefault="0019194F" w:rsidP="00C63CAC">
            <w:pPr>
              <w:ind w:right="-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510889">
              <w:rPr>
                <w:rFonts w:asciiTheme="majorHAnsi" w:hAnsiTheme="majorHAnsi" w:cstheme="majorHAnsi"/>
                <w:color w:val="000000"/>
                <w:sz w:val="18"/>
              </w:rPr>
              <w:t>134597</w:t>
            </w:r>
          </w:p>
        </w:tc>
        <w:tc>
          <w:tcPr>
            <w:tcW w:w="899" w:type="pct"/>
            <w:tcBorders>
              <w:top w:val="single" w:sz="4" w:space="0" w:color="EBEBF0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3F4E680E" w14:textId="6424EDF0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18"/>
              </w:rPr>
            </w:pPr>
            <w:r w:rsidRPr="00510889">
              <w:rPr>
                <w:rFonts w:asciiTheme="majorHAnsi" w:hAnsiTheme="majorHAnsi" w:cstheme="majorHAnsi"/>
                <w:sz w:val="18"/>
              </w:rPr>
              <w:t>-6,42</w:t>
            </w:r>
          </w:p>
        </w:tc>
        <w:tc>
          <w:tcPr>
            <w:tcW w:w="991" w:type="pct"/>
            <w:tcBorders>
              <w:top w:val="single" w:sz="4" w:space="0" w:color="EBEBF0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3DFAA798" w14:textId="5D6FFBE7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8"/>
              </w:rPr>
            </w:pPr>
            <w:r w:rsidRPr="00510889">
              <w:rPr>
                <w:rFonts w:asciiTheme="majorHAnsi" w:hAnsiTheme="majorHAnsi" w:cstheme="majorHAnsi"/>
                <w:color w:val="auto"/>
                <w:sz w:val="18"/>
              </w:rPr>
              <w:t>122411</w:t>
            </w:r>
          </w:p>
        </w:tc>
        <w:tc>
          <w:tcPr>
            <w:tcW w:w="897" w:type="pct"/>
            <w:tcBorders>
              <w:top w:val="single" w:sz="4" w:space="0" w:color="EBEBF0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53FC4922" w14:textId="1EDB6CF7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18"/>
              </w:rPr>
            </w:pPr>
            <w:r w:rsidRPr="00510889">
              <w:rPr>
                <w:rFonts w:asciiTheme="majorHAnsi" w:hAnsiTheme="majorHAnsi" w:cstheme="majorHAnsi"/>
                <w:sz w:val="18"/>
              </w:rPr>
              <w:t>-9,05</w:t>
            </w:r>
          </w:p>
        </w:tc>
      </w:tr>
      <w:tr w:rsidR="00727EB1" w:rsidRPr="00510889" w14:paraId="1837B3A3" w14:textId="77777777" w:rsidTr="00736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pct"/>
            <w:tcBorders>
              <w:top w:val="single" w:sz="4" w:space="0" w:color="EBEBF0"/>
              <w:left w:val="single" w:sz="2" w:space="0" w:color="D9E2F3"/>
              <w:bottom w:val="single" w:sz="2" w:space="0" w:color="D9E2F3"/>
              <w:right w:val="single" w:sz="4" w:space="0" w:color="EBEBF0"/>
            </w:tcBorders>
            <w:hideMark/>
          </w:tcPr>
          <w:p w14:paraId="488A35EA" w14:textId="77777777" w:rsidR="00004325" w:rsidRPr="00510889" w:rsidRDefault="00004325" w:rsidP="00C63CAC">
            <w:pPr>
              <w:autoSpaceDE w:val="0"/>
              <w:autoSpaceDN w:val="0"/>
              <w:adjustRightInd w:val="0"/>
              <w:ind w:right="-104"/>
              <w:contextualSpacing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510889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Пессимистичный сценарий</w:t>
            </w:r>
          </w:p>
        </w:tc>
        <w:tc>
          <w:tcPr>
            <w:tcW w:w="987" w:type="pct"/>
            <w:tcBorders>
              <w:top w:val="single" w:sz="4" w:space="0" w:color="EBEBF0"/>
              <w:left w:val="single" w:sz="4" w:space="0" w:color="EBEBF0"/>
              <w:bottom w:val="single" w:sz="2" w:space="0" w:color="D9E2F3"/>
              <w:right w:val="single" w:sz="4" w:space="0" w:color="EBEBF0"/>
            </w:tcBorders>
            <w:vAlign w:val="center"/>
          </w:tcPr>
          <w:p w14:paraId="794337FB" w14:textId="0D862CA9" w:rsidR="00004325" w:rsidRPr="00510889" w:rsidRDefault="0019194F" w:rsidP="00C63CAC">
            <w:pPr>
              <w:ind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1088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132407</w:t>
            </w:r>
          </w:p>
        </w:tc>
        <w:tc>
          <w:tcPr>
            <w:tcW w:w="899" w:type="pct"/>
            <w:tcBorders>
              <w:top w:val="single" w:sz="4" w:space="0" w:color="EBEBF0"/>
              <w:left w:val="single" w:sz="4" w:space="0" w:color="EBEBF0"/>
              <w:bottom w:val="single" w:sz="2" w:space="0" w:color="D9E2F3"/>
              <w:right w:val="single" w:sz="4" w:space="0" w:color="EBEBF0"/>
            </w:tcBorders>
            <w:vAlign w:val="center"/>
          </w:tcPr>
          <w:p w14:paraId="22C7A08E" w14:textId="77C8ED18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510889">
              <w:rPr>
                <w:rFonts w:asciiTheme="majorHAnsi" w:hAnsiTheme="majorHAnsi" w:cstheme="majorHAnsi"/>
                <w:sz w:val="18"/>
                <w:szCs w:val="18"/>
              </w:rPr>
              <w:t>-7,94</w:t>
            </w:r>
          </w:p>
        </w:tc>
        <w:tc>
          <w:tcPr>
            <w:tcW w:w="991" w:type="pct"/>
            <w:tcBorders>
              <w:top w:val="single" w:sz="4" w:space="0" w:color="EBEBF0"/>
              <w:left w:val="single" w:sz="4" w:space="0" w:color="EBEBF0"/>
              <w:bottom w:val="single" w:sz="2" w:space="0" w:color="D9E2F3"/>
              <w:right w:val="single" w:sz="4" w:space="0" w:color="EBEBF0"/>
            </w:tcBorders>
            <w:vAlign w:val="center"/>
          </w:tcPr>
          <w:p w14:paraId="5F67318A" w14:textId="4F150F14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510889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115356</w:t>
            </w:r>
          </w:p>
        </w:tc>
        <w:tc>
          <w:tcPr>
            <w:tcW w:w="897" w:type="pct"/>
            <w:tcBorders>
              <w:top w:val="single" w:sz="4" w:space="0" w:color="EBEBF0"/>
              <w:left w:val="single" w:sz="4" w:space="0" w:color="EBEBF0"/>
              <w:bottom w:val="single" w:sz="2" w:space="0" w:color="D9E2F3"/>
              <w:right w:val="single" w:sz="4" w:space="0" w:color="EBEBF0"/>
            </w:tcBorders>
            <w:vAlign w:val="center"/>
          </w:tcPr>
          <w:p w14:paraId="14E45FB1" w14:textId="62EFFDFE" w:rsidR="00004325" w:rsidRPr="00510889" w:rsidRDefault="0019194F" w:rsidP="00C63CAC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510889">
              <w:rPr>
                <w:rFonts w:asciiTheme="majorHAnsi" w:hAnsiTheme="majorHAnsi" w:cstheme="majorHAnsi"/>
                <w:sz w:val="18"/>
                <w:szCs w:val="18"/>
              </w:rPr>
              <w:t>-12,88</w:t>
            </w:r>
          </w:p>
        </w:tc>
      </w:tr>
    </w:tbl>
    <w:p w14:paraId="34662AC0" w14:textId="59E46D43" w:rsidR="00004325" w:rsidRPr="00510889" w:rsidRDefault="00004325" w:rsidP="00560763">
      <w:pPr>
        <w:pStyle w:val="a3"/>
      </w:pPr>
      <w:r w:rsidRPr="00510889">
        <w:t xml:space="preserve">Источник: </w:t>
      </w:r>
      <w:r w:rsidR="00E3451F" w:rsidRPr="00510889">
        <w:t>НАПИ (Национальное Агентство Промышленной Информации)</w:t>
      </w:r>
    </w:p>
    <w:p w14:paraId="51F4E1C7" w14:textId="7B0B58A0" w:rsidR="000C08DF" w:rsidRPr="00510889" w:rsidRDefault="000C08DF" w:rsidP="00736E9F">
      <w:pPr>
        <w:pStyle w:val="a4"/>
        <w:spacing w:before="480" w:after="240"/>
        <w:rPr>
          <w:rFonts w:asciiTheme="majorHAnsi" w:hAnsiTheme="majorHAnsi" w:cstheme="majorHAnsi"/>
        </w:rPr>
      </w:pPr>
      <w:r w:rsidRPr="00510889">
        <w:rPr>
          <w:rFonts w:asciiTheme="majorHAnsi" w:hAnsiTheme="majorHAnsi" w:cstheme="majorHAnsi"/>
        </w:rPr>
        <w:t xml:space="preserve">Прогноз рынка новых </w:t>
      </w:r>
      <w:r w:rsidR="00814ACB" w:rsidRPr="00510889">
        <w:rPr>
          <w:rFonts w:asciiTheme="majorHAnsi" w:hAnsiTheme="majorHAnsi" w:cstheme="majorHAnsi"/>
        </w:rPr>
        <w:t>грузовых</w:t>
      </w:r>
      <w:r w:rsidRPr="00510889">
        <w:rPr>
          <w:rFonts w:asciiTheme="majorHAnsi" w:hAnsiTheme="majorHAnsi" w:cstheme="majorHAnsi"/>
        </w:rPr>
        <w:t xml:space="preserve"> автомобилей до 202</w:t>
      </w:r>
      <w:r w:rsidR="00EC4BED" w:rsidRPr="00510889">
        <w:rPr>
          <w:rFonts w:asciiTheme="majorHAnsi" w:hAnsiTheme="majorHAnsi" w:cstheme="majorHAnsi"/>
        </w:rPr>
        <w:t>5</w:t>
      </w:r>
      <w:r w:rsidRPr="00510889">
        <w:rPr>
          <w:rFonts w:asciiTheme="majorHAnsi" w:hAnsiTheme="majorHAnsi" w:cstheme="majorHAnsi"/>
        </w:rPr>
        <w:t xml:space="preserve"> г., тыс. </w:t>
      </w:r>
      <w:r w:rsidR="002347F8" w:rsidRPr="00510889">
        <w:rPr>
          <w:rFonts w:asciiTheme="majorHAnsi" w:hAnsiTheme="majorHAnsi" w:cstheme="majorHAnsi"/>
        </w:rPr>
        <w:t>шт</w:t>
      </w:r>
      <w:r w:rsidRPr="00510889">
        <w:rPr>
          <w:rFonts w:asciiTheme="majorHAnsi" w:hAnsiTheme="majorHAnsi" w:cstheme="majorHAnsi"/>
        </w:rPr>
        <w:t>.</w:t>
      </w:r>
      <w:r w:rsidR="00B271C6" w:rsidRPr="00510889">
        <w:rPr>
          <w:rFonts w:asciiTheme="majorHAnsi" w:hAnsiTheme="majorHAnsi" w:cstheme="majorHAnsi"/>
        </w:rPr>
        <w:t xml:space="preserve"> </w:t>
      </w:r>
    </w:p>
    <w:p w14:paraId="026DEECF" w14:textId="54DF6F59" w:rsidR="000A78FF" w:rsidRPr="004D4D9A" w:rsidRDefault="008B7D09" w:rsidP="003D64DC">
      <w:pPr>
        <w:pStyle w:val="a4"/>
        <w:spacing w:after="0"/>
        <w:ind w:right="14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1435B7C7" wp14:editId="20C23106">
            <wp:extent cx="5871210" cy="4231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423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66563" w14:textId="36984BEC" w:rsidR="000C08DF" w:rsidRPr="003D64DC" w:rsidRDefault="000A78FF" w:rsidP="0089461D">
      <w:pPr>
        <w:ind w:right="-1"/>
        <w:jc w:val="right"/>
        <w:rPr>
          <w:rFonts w:cstheme="minorHAnsi"/>
          <w:b w:val="0"/>
          <w:bCs/>
          <w:i/>
          <w:iCs/>
          <w:color w:val="auto"/>
          <w:sz w:val="18"/>
          <w:szCs w:val="18"/>
        </w:rPr>
      </w:pPr>
      <w:r w:rsidRPr="003D64DC">
        <w:rPr>
          <w:rFonts w:cstheme="minorHAnsi"/>
          <w:b w:val="0"/>
          <w:bCs/>
          <w:i/>
          <w:iCs/>
          <w:color w:val="auto"/>
          <w:sz w:val="18"/>
          <w:szCs w:val="18"/>
        </w:rPr>
        <w:t>*прогноз</w:t>
      </w:r>
    </w:p>
    <w:p w14:paraId="08B7F747" w14:textId="6544AF9C" w:rsidR="003B7D26" w:rsidRPr="00560763" w:rsidRDefault="000C08DF" w:rsidP="00560763">
      <w:pPr>
        <w:pStyle w:val="a3"/>
      </w:pPr>
      <w:r w:rsidRPr="00560763">
        <w:t xml:space="preserve">Источник: </w:t>
      </w:r>
      <w:r w:rsidR="001A41D2" w:rsidRPr="00560763">
        <w:t>НАПИ (Национальное Агентство Промышленной Информации)</w:t>
      </w:r>
    </w:p>
    <w:p w14:paraId="064F1CFD" w14:textId="6B47BD71" w:rsidR="00C47513" w:rsidRPr="00510889" w:rsidRDefault="00C47513" w:rsidP="00736E9F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Theme="majorHAnsi" w:eastAsia="Calibri" w:hAnsiTheme="majorHAnsi" w:cstheme="majorHAnsi"/>
          <w:bCs/>
          <w:color w:val="0070C0"/>
          <w:sz w:val="20"/>
          <w:szCs w:val="20"/>
        </w:rPr>
      </w:pPr>
      <w:r w:rsidRPr="00510889">
        <w:rPr>
          <w:rFonts w:asciiTheme="majorHAnsi" w:eastAsia="Calibri" w:hAnsiTheme="majorHAnsi" w:cstheme="majorHAnsi"/>
          <w:bCs/>
          <w:color w:val="0070C0"/>
          <w:sz w:val="20"/>
          <w:szCs w:val="20"/>
        </w:rPr>
        <w:t xml:space="preserve">Прогноз структуры рынка новых </w:t>
      </w:r>
      <w:r w:rsidR="00814ACB" w:rsidRPr="00510889">
        <w:rPr>
          <w:rFonts w:asciiTheme="majorHAnsi" w:eastAsia="Calibri" w:hAnsiTheme="majorHAnsi" w:cstheme="majorHAnsi"/>
          <w:bCs/>
          <w:color w:val="0070C0"/>
          <w:sz w:val="20"/>
          <w:szCs w:val="20"/>
        </w:rPr>
        <w:t>грузовых</w:t>
      </w:r>
      <w:r w:rsidRPr="00510889">
        <w:rPr>
          <w:rFonts w:asciiTheme="majorHAnsi" w:eastAsia="Calibri" w:hAnsiTheme="majorHAnsi" w:cstheme="majorHAnsi"/>
          <w:bCs/>
          <w:color w:val="0070C0"/>
          <w:sz w:val="20"/>
          <w:szCs w:val="20"/>
        </w:rPr>
        <w:t xml:space="preserve"> автомобилей в 2024 г., </w:t>
      </w:r>
      <w:r w:rsidRPr="00510889">
        <w:rPr>
          <w:rFonts w:asciiTheme="majorHAnsi" w:eastAsia="Calibri" w:hAnsiTheme="majorHAnsi" w:cstheme="majorHAnsi"/>
          <w:bCs/>
          <w:color w:val="0070C0"/>
          <w:sz w:val="20"/>
          <w:szCs w:val="20"/>
        </w:rPr>
        <w:br/>
        <w:t>базовый сценарий</w:t>
      </w:r>
    </w:p>
    <w:p w14:paraId="2417C4E4" w14:textId="6C88514B" w:rsidR="00C47513" w:rsidRPr="00510889" w:rsidRDefault="008B7D09" w:rsidP="00510C5B">
      <w:pPr>
        <w:autoSpaceDE w:val="0"/>
        <w:autoSpaceDN w:val="0"/>
        <w:adjustRightInd w:val="0"/>
        <w:spacing w:before="120" w:after="120" w:line="240" w:lineRule="auto"/>
        <w:ind w:right="-1"/>
        <w:jc w:val="center"/>
        <w:rPr>
          <w:rFonts w:asciiTheme="majorHAnsi" w:eastAsia="Calibri" w:hAnsiTheme="majorHAnsi" w:cstheme="majorHAnsi"/>
          <w:bCs/>
          <w:color w:val="0070C0"/>
          <w:sz w:val="22"/>
        </w:rPr>
      </w:pPr>
      <w:r>
        <w:rPr>
          <w:rFonts w:asciiTheme="majorHAnsi" w:eastAsia="Calibri" w:hAnsiTheme="majorHAnsi" w:cstheme="majorHAnsi"/>
          <w:bCs/>
          <w:noProof/>
          <w:color w:val="0070C0"/>
          <w:sz w:val="22"/>
        </w:rPr>
        <w:drawing>
          <wp:inline distT="0" distB="0" distL="0" distR="0" wp14:anchorId="1D1D06EB" wp14:editId="2B22AE60">
            <wp:extent cx="5761355" cy="2877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93466" w14:textId="55660F9D" w:rsidR="00C47513" w:rsidRPr="00510889" w:rsidRDefault="00C47513" w:rsidP="00C63CA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</w:pPr>
      <w:r w:rsidRPr="00510889"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 xml:space="preserve">Источник: </w:t>
      </w:r>
      <w:r w:rsidR="001A41D2" w:rsidRPr="00510889"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НАПИ (Национальное Агентство Промышленной Информации)</w:t>
      </w:r>
    </w:p>
    <w:p w14:paraId="6C15EEEE" w14:textId="180E8BF6" w:rsidR="008E7128" w:rsidRDefault="008E7128" w:rsidP="00C63CAC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Theme="majorHAnsi" w:eastAsia="Calibri" w:hAnsiTheme="majorHAnsi" w:cstheme="majorHAnsi"/>
          <w:bCs/>
          <w:color w:val="0070C0"/>
          <w:sz w:val="20"/>
          <w:szCs w:val="20"/>
        </w:rPr>
      </w:pPr>
    </w:p>
    <w:p w14:paraId="011C1697" w14:textId="77777777" w:rsidR="00736E9F" w:rsidRDefault="00736E9F" w:rsidP="00C63CAC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Theme="majorHAnsi" w:eastAsia="Calibri" w:hAnsiTheme="majorHAnsi" w:cstheme="majorHAnsi"/>
          <w:bCs/>
          <w:color w:val="0070C0"/>
          <w:sz w:val="20"/>
          <w:szCs w:val="20"/>
        </w:rPr>
      </w:pPr>
    </w:p>
    <w:p w14:paraId="138BF12B" w14:textId="4E98C870" w:rsidR="00C47513" w:rsidRPr="00B77CF1" w:rsidRDefault="00C47513" w:rsidP="00736E9F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Theme="majorHAnsi" w:eastAsia="Calibri" w:hAnsiTheme="majorHAnsi" w:cstheme="majorHAnsi"/>
          <w:bCs/>
          <w:color w:val="0070C0"/>
          <w:sz w:val="20"/>
          <w:szCs w:val="20"/>
        </w:rPr>
      </w:pPr>
      <w:r w:rsidRPr="00B77CF1">
        <w:rPr>
          <w:rFonts w:asciiTheme="majorHAnsi" w:eastAsia="Calibri" w:hAnsiTheme="majorHAnsi" w:cstheme="majorHAnsi"/>
          <w:bCs/>
          <w:color w:val="0070C0"/>
          <w:sz w:val="20"/>
          <w:szCs w:val="20"/>
        </w:rPr>
        <w:t xml:space="preserve">Прогноз структуры рынка новых </w:t>
      </w:r>
      <w:r w:rsidR="00814ACB" w:rsidRPr="00B77CF1">
        <w:rPr>
          <w:rFonts w:asciiTheme="majorHAnsi" w:eastAsia="Calibri" w:hAnsiTheme="majorHAnsi" w:cstheme="majorHAnsi"/>
          <w:bCs/>
          <w:color w:val="0070C0"/>
          <w:sz w:val="20"/>
          <w:szCs w:val="20"/>
        </w:rPr>
        <w:t>грузовых</w:t>
      </w:r>
      <w:r w:rsidRPr="00B77CF1">
        <w:rPr>
          <w:rFonts w:asciiTheme="majorHAnsi" w:eastAsia="Calibri" w:hAnsiTheme="majorHAnsi" w:cstheme="majorHAnsi"/>
          <w:bCs/>
          <w:color w:val="0070C0"/>
          <w:sz w:val="20"/>
          <w:szCs w:val="20"/>
        </w:rPr>
        <w:t xml:space="preserve"> автомобилей в 2025 г., </w:t>
      </w:r>
      <w:r w:rsidRPr="00B77CF1">
        <w:rPr>
          <w:rFonts w:asciiTheme="majorHAnsi" w:eastAsia="Calibri" w:hAnsiTheme="majorHAnsi" w:cstheme="majorHAnsi"/>
          <w:bCs/>
          <w:color w:val="0070C0"/>
          <w:sz w:val="20"/>
          <w:szCs w:val="20"/>
        </w:rPr>
        <w:br/>
        <w:t>базовый сценарий</w:t>
      </w:r>
    </w:p>
    <w:p w14:paraId="7AAFB65D" w14:textId="4321B0D5" w:rsidR="00C47513" w:rsidRPr="00B77CF1" w:rsidRDefault="008B7D09" w:rsidP="00C63CAC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Theme="majorHAnsi" w:eastAsia="Calibri" w:hAnsiTheme="majorHAnsi" w:cstheme="majorHAnsi"/>
          <w:bCs/>
          <w:color w:val="000000"/>
          <w:sz w:val="20"/>
          <w:szCs w:val="20"/>
        </w:rPr>
      </w:pPr>
      <w:r>
        <w:rPr>
          <w:rFonts w:asciiTheme="majorHAnsi" w:eastAsia="Calibri" w:hAnsiTheme="majorHAnsi" w:cstheme="majorHAnsi"/>
          <w:bCs/>
          <w:noProof/>
          <w:color w:val="000000"/>
          <w:sz w:val="20"/>
          <w:szCs w:val="20"/>
        </w:rPr>
        <w:drawing>
          <wp:inline distT="0" distB="0" distL="0" distR="0" wp14:anchorId="6F41646E" wp14:editId="14CE2302">
            <wp:extent cx="5761355" cy="28778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41362" w14:textId="3CCC6EA1" w:rsidR="00C47513" w:rsidRDefault="00C47513" w:rsidP="00C63CA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</w:pPr>
      <w:bookmarkStart w:id="3" w:name="_Hlk171044138"/>
      <w:r w:rsidRPr="00B77CF1"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 xml:space="preserve">Источник: </w:t>
      </w:r>
      <w:r w:rsidR="001A41D2" w:rsidRPr="00B77CF1"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НАПИ (Национальное Агентство Промышленной Информации</w:t>
      </w:r>
      <w:r w:rsidR="001A41D2" w:rsidRPr="004D4D9A"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)</w:t>
      </w:r>
      <w:bookmarkEnd w:id="3"/>
    </w:p>
    <w:p w14:paraId="4F06BC10" w14:textId="6C7421C4" w:rsidR="008E7128" w:rsidRPr="00660EE6" w:rsidRDefault="008E7128" w:rsidP="00736E9F">
      <w:pPr>
        <w:pStyle w:val="a4"/>
        <w:spacing w:before="480" w:after="240"/>
        <w:rPr>
          <w:rFonts w:asciiTheme="majorHAnsi" w:hAnsiTheme="majorHAnsi" w:cstheme="majorHAnsi"/>
        </w:rPr>
      </w:pPr>
      <w:r w:rsidRPr="00660EE6">
        <w:rPr>
          <w:rFonts w:asciiTheme="majorHAnsi" w:hAnsiTheme="majorHAnsi" w:cstheme="majorHAnsi"/>
        </w:rPr>
        <w:t xml:space="preserve">Прогноз рынка новых седельных тягачей до 2025 г., тыс. шт. </w:t>
      </w:r>
    </w:p>
    <w:p w14:paraId="2586DA2C" w14:textId="2F08EB3E" w:rsidR="002C3A5C" w:rsidRPr="00660EE6" w:rsidRDefault="008B7D09" w:rsidP="008E7128">
      <w:pPr>
        <w:pStyle w:val="a4"/>
        <w:ind w:right="-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1084F16D" wp14:editId="35F5BAB8">
            <wp:extent cx="5919470" cy="339598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13A5FD" w14:textId="61CB7A60" w:rsidR="002C3A5C" w:rsidRDefault="002C3A5C" w:rsidP="002C3A5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</w:pPr>
      <w:r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*прогноз</w:t>
      </w:r>
    </w:p>
    <w:p w14:paraId="4EF7ACF6" w14:textId="40106429" w:rsidR="002C3A5C" w:rsidRPr="002C3A5C" w:rsidRDefault="002C3A5C" w:rsidP="002C3A5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</w:pPr>
      <w:r w:rsidRPr="004D4D9A"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Источник: НАПИ (Национальное Агентство Промышленной Информации)</w:t>
      </w:r>
    </w:p>
    <w:p w14:paraId="3CFBB088" w14:textId="77777777" w:rsidR="002C3A5C" w:rsidRDefault="002C3A5C" w:rsidP="008E7128">
      <w:pPr>
        <w:pStyle w:val="a4"/>
        <w:ind w:right="-1"/>
        <w:rPr>
          <w:rFonts w:cs="Arial"/>
        </w:rPr>
      </w:pPr>
    </w:p>
    <w:p w14:paraId="65783894" w14:textId="77777777" w:rsidR="002C3A5C" w:rsidRDefault="002C3A5C" w:rsidP="008E7128">
      <w:pPr>
        <w:pStyle w:val="a4"/>
        <w:ind w:right="-1"/>
        <w:rPr>
          <w:rFonts w:cs="Arial"/>
        </w:rPr>
      </w:pPr>
    </w:p>
    <w:p w14:paraId="5F4487BD" w14:textId="77777777" w:rsidR="002C3A5C" w:rsidRDefault="002C3A5C" w:rsidP="008E7128">
      <w:pPr>
        <w:pStyle w:val="a4"/>
        <w:ind w:right="-1"/>
        <w:rPr>
          <w:rFonts w:cs="Arial"/>
        </w:rPr>
      </w:pPr>
    </w:p>
    <w:p w14:paraId="7809C6E9" w14:textId="54FF77B7" w:rsidR="008E7128" w:rsidRPr="00660EE6" w:rsidRDefault="008E7128" w:rsidP="00736E9F">
      <w:pPr>
        <w:pStyle w:val="a4"/>
        <w:spacing w:after="240"/>
        <w:rPr>
          <w:rFonts w:asciiTheme="majorHAnsi" w:hAnsiTheme="majorHAnsi" w:cstheme="majorHAnsi"/>
        </w:rPr>
      </w:pPr>
      <w:r w:rsidRPr="00660EE6">
        <w:rPr>
          <w:rFonts w:asciiTheme="majorHAnsi" w:hAnsiTheme="majorHAnsi" w:cstheme="majorHAnsi"/>
        </w:rPr>
        <w:t xml:space="preserve">Прогноз рынка новых самосвалов до 2025 г., тыс. шт. </w:t>
      </w:r>
    </w:p>
    <w:p w14:paraId="3175AA60" w14:textId="49A75583" w:rsidR="002C3A5C" w:rsidRPr="00660EE6" w:rsidRDefault="008B7D09" w:rsidP="008E7128">
      <w:pPr>
        <w:pStyle w:val="a4"/>
        <w:ind w:right="-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78B4CEF7" wp14:editId="6C6A6B68">
            <wp:extent cx="5919470" cy="3237230"/>
            <wp:effectExtent l="0" t="0" r="508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95236F" w14:textId="77777777" w:rsidR="002C3A5C" w:rsidRDefault="002C3A5C" w:rsidP="002C3A5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</w:pPr>
      <w:r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*прогноз</w:t>
      </w:r>
    </w:p>
    <w:p w14:paraId="5C7D04C8" w14:textId="77777777" w:rsidR="002C3A5C" w:rsidRDefault="002C3A5C" w:rsidP="002C3A5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</w:pPr>
      <w:r w:rsidRPr="004D4D9A"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Источник: НАПИ (Национальное Агентство Промышленной Информации)</w:t>
      </w:r>
    </w:p>
    <w:p w14:paraId="6A74D6E6" w14:textId="4FDF5C66" w:rsidR="008E7128" w:rsidRPr="000A11D4" w:rsidRDefault="008E7128" w:rsidP="00736E9F">
      <w:pPr>
        <w:pStyle w:val="a4"/>
        <w:spacing w:before="480" w:after="240"/>
        <w:rPr>
          <w:rFonts w:asciiTheme="majorHAnsi" w:hAnsiTheme="majorHAnsi" w:cstheme="majorHAnsi"/>
        </w:rPr>
      </w:pPr>
      <w:r w:rsidRPr="000A11D4">
        <w:rPr>
          <w:rFonts w:asciiTheme="majorHAnsi" w:hAnsiTheme="majorHAnsi" w:cstheme="majorHAnsi"/>
        </w:rPr>
        <w:t xml:space="preserve">Прогноз рынка новых фургонов до 2025 г., тыс. шт. </w:t>
      </w:r>
    </w:p>
    <w:p w14:paraId="7290CED6" w14:textId="418A60CE" w:rsidR="002C3A5C" w:rsidRPr="000A11D4" w:rsidRDefault="008B7D09" w:rsidP="008E7128">
      <w:pPr>
        <w:pStyle w:val="a4"/>
        <w:ind w:right="-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45AAD8D1" wp14:editId="7B713850">
            <wp:extent cx="5773420" cy="33407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33E9D" w14:textId="77777777" w:rsidR="002C3A5C" w:rsidRDefault="002C3A5C" w:rsidP="002C3A5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</w:pPr>
      <w:r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*прогноз</w:t>
      </w:r>
    </w:p>
    <w:p w14:paraId="2795DFC2" w14:textId="77777777" w:rsidR="002C3A5C" w:rsidRDefault="002C3A5C" w:rsidP="002C3A5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</w:pPr>
      <w:r w:rsidRPr="004D4D9A">
        <w:rPr>
          <w:rFonts w:asciiTheme="majorHAnsi" w:eastAsia="Calibri" w:hAnsiTheme="majorHAnsi" w:cstheme="majorHAnsi"/>
          <w:b w:val="0"/>
          <w:i/>
          <w:iCs/>
          <w:color w:val="000000"/>
          <w:sz w:val="16"/>
          <w:szCs w:val="16"/>
        </w:rPr>
        <w:t>Источник: НАПИ (Национальное Агентство Промышленной Информации)</w:t>
      </w:r>
    </w:p>
    <w:sectPr w:rsidR="002C3A5C" w:rsidSect="00D2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ADB6" w14:textId="77777777" w:rsidR="00D1131E" w:rsidRDefault="00D1131E" w:rsidP="009D1239">
      <w:pPr>
        <w:spacing w:after="0" w:line="240" w:lineRule="auto"/>
      </w:pPr>
      <w:r>
        <w:separator/>
      </w:r>
    </w:p>
  </w:endnote>
  <w:endnote w:type="continuationSeparator" w:id="0">
    <w:p w14:paraId="0E1BC5ED" w14:textId="77777777" w:rsidR="00D1131E" w:rsidRDefault="00D1131E" w:rsidP="009D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F7BE" w14:textId="77777777" w:rsidR="00D1131E" w:rsidRDefault="00D1131E" w:rsidP="009D1239">
      <w:pPr>
        <w:spacing w:after="0" w:line="240" w:lineRule="auto"/>
      </w:pPr>
      <w:r>
        <w:separator/>
      </w:r>
    </w:p>
  </w:footnote>
  <w:footnote w:type="continuationSeparator" w:id="0">
    <w:p w14:paraId="0C5C4EB9" w14:textId="77777777" w:rsidR="00D1131E" w:rsidRDefault="00D1131E" w:rsidP="009D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FCCDFD8"/>
    <w:lvl w:ilvl="0">
      <w:numFmt w:val="bullet"/>
      <w:lvlText w:val="*"/>
      <w:lvlJc w:val="left"/>
    </w:lvl>
  </w:abstractNum>
  <w:abstractNum w:abstractNumId="1" w15:restartNumberingAfterBreak="0">
    <w:nsid w:val="1165109E"/>
    <w:multiLevelType w:val="hybridMultilevel"/>
    <w:tmpl w:val="65E8E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5376"/>
    <w:multiLevelType w:val="hybridMultilevel"/>
    <w:tmpl w:val="3C2C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7642"/>
    <w:multiLevelType w:val="hybridMultilevel"/>
    <w:tmpl w:val="BDC6D3A0"/>
    <w:lvl w:ilvl="0" w:tplc="082E40EA">
      <w:start w:val="202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E3F99"/>
    <w:multiLevelType w:val="hybridMultilevel"/>
    <w:tmpl w:val="FCD2AFEE"/>
    <w:lvl w:ilvl="0" w:tplc="AB2A14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1A21F3"/>
    <w:multiLevelType w:val="hybridMultilevel"/>
    <w:tmpl w:val="2BA0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31D4B"/>
    <w:multiLevelType w:val="hybridMultilevel"/>
    <w:tmpl w:val="F392F30A"/>
    <w:lvl w:ilvl="0" w:tplc="10EA42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BE5D9A"/>
    <w:multiLevelType w:val="hybridMultilevel"/>
    <w:tmpl w:val="C9B6EC4A"/>
    <w:lvl w:ilvl="0" w:tplc="5F1ABDF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A010F"/>
    <w:multiLevelType w:val="hybridMultilevel"/>
    <w:tmpl w:val="61E85B76"/>
    <w:lvl w:ilvl="0" w:tplc="5608DD3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A1DFA"/>
    <w:multiLevelType w:val="hybridMultilevel"/>
    <w:tmpl w:val="8730A9F2"/>
    <w:lvl w:ilvl="0" w:tplc="DEB68458">
      <w:start w:val="202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E481E"/>
    <w:multiLevelType w:val="hybridMultilevel"/>
    <w:tmpl w:val="1EEA65FA"/>
    <w:lvl w:ilvl="0" w:tplc="05B8ACD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DF"/>
    <w:rsid w:val="00001100"/>
    <w:rsid w:val="00004325"/>
    <w:rsid w:val="00007A97"/>
    <w:rsid w:val="00032345"/>
    <w:rsid w:val="00032530"/>
    <w:rsid w:val="000338D0"/>
    <w:rsid w:val="000507A8"/>
    <w:rsid w:val="00051A69"/>
    <w:rsid w:val="00052C1F"/>
    <w:rsid w:val="00053173"/>
    <w:rsid w:val="00060F4B"/>
    <w:rsid w:val="0006745B"/>
    <w:rsid w:val="00067B81"/>
    <w:rsid w:val="00073FC9"/>
    <w:rsid w:val="00074928"/>
    <w:rsid w:val="00075985"/>
    <w:rsid w:val="00076CCD"/>
    <w:rsid w:val="0007737E"/>
    <w:rsid w:val="00083FD8"/>
    <w:rsid w:val="00097C94"/>
    <w:rsid w:val="000A0A99"/>
    <w:rsid w:val="000A11D4"/>
    <w:rsid w:val="000A1F94"/>
    <w:rsid w:val="000A3AAC"/>
    <w:rsid w:val="000A78FF"/>
    <w:rsid w:val="000B4927"/>
    <w:rsid w:val="000B5F77"/>
    <w:rsid w:val="000C08DF"/>
    <w:rsid w:val="000C41C3"/>
    <w:rsid w:val="000D25D5"/>
    <w:rsid w:val="000D3662"/>
    <w:rsid w:val="000D4EF3"/>
    <w:rsid w:val="000D57A7"/>
    <w:rsid w:val="000E4146"/>
    <w:rsid w:val="000F1302"/>
    <w:rsid w:val="000F1CCD"/>
    <w:rsid w:val="000F4BB3"/>
    <w:rsid w:val="000F4FAB"/>
    <w:rsid w:val="00115006"/>
    <w:rsid w:val="001153E0"/>
    <w:rsid w:val="00137DF9"/>
    <w:rsid w:val="001400B7"/>
    <w:rsid w:val="00145D6F"/>
    <w:rsid w:val="0016398D"/>
    <w:rsid w:val="0016638E"/>
    <w:rsid w:val="001717C5"/>
    <w:rsid w:val="00180E77"/>
    <w:rsid w:val="0019099D"/>
    <w:rsid w:val="0019194F"/>
    <w:rsid w:val="00193AF1"/>
    <w:rsid w:val="00194E20"/>
    <w:rsid w:val="001A41D2"/>
    <w:rsid w:val="001A6A50"/>
    <w:rsid w:val="001A7E22"/>
    <w:rsid w:val="001C448D"/>
    <w:rsid w:val="001D15C9"/>
    <w:rsid w:val="001D1C5E"/>
    <w:rsid w:val="001D7A47"/>
    <w:rsid w:val="001D7DBB"/>
    <w:rsid w:val="00200A7F"/>
    <w:rsid w:val="002347F8"/>
    <w:rsid w:val="0023527F"/>
    <w:rsid w:val="00271D6B"/>
    <w:rsid w:val="00271DA0"/>
    <w:rsid w:val="00277896"/>
    <w:rsid w:val="002826C7"/>
    <w:rsid w:val="00284C51"/>
    <w:rsid w:val="00285E49"/>
    <w:rsid w:val="002A58D2"/>
    <w:rsid w:val="002C062F"/>
    <w:rsid w:val="002C1226"/>
    <w:rsid w:val="002C1760"/>
    <w:rsid w:val="002C3A5C"/>
    <w:rsid w:val="002C5458"/>
    <w:rsid w:val="002E0802"/>
    <w:rsid w:val="002E6BBF"/>
    <w:rsid w:val="002F08BE"/>
    <w:rsid w:val="002F6229"/>
    <w:rsid w:val="00302B6B"/>
    <w:rsid w:val="003041B1"/>
    <w:rsid w:val="003141CF"/>
    <w:rsid w:val="00314FE2"/>
    <w:rsid w:val="00315AC6"/>
    <w:rsid w:val="00316A1C"/>
    <w:rsid w:val="00316A6A"/>
    <w:rsid w:val="00323DC4"/>
    <w:rsid w:val="003269E8"/>
    <w:rsid w:val="00343069"/>
    <w:rsid w:val="0034672D"/>
    <w:rsid w:val="00346F99"/>
    <w:rsid w:val="00347643"/>
    <w:rsid w:val="00350763"/>
    <w:rsid w:val="00362AA1"/>
    <w:rsid w:val="003803BA"/>
    <w:rsid w:val="00387647"/>
    <w:rsid w:val="00395749"/>
    <w:rsid w:val="00395CC8"/>
    <w:rsid w:val="003A0ADE"/>
    <w:rsid w:val="003A11B5"/>
    <w:rsid w:val="003A4104"/>
    <w:rsid w:val="003A58BF"/>
    <w:rsid w:val="003B2850"/>
    <w:rsid w:val="003B4C29"/>
    <w:rsid w:val="003B645F"/>
    <w:rsid w:val="003B7D26"/>
    <w:rsid w:val="003C43B9"/>
    <w:rsid w:val="003D2841"/>
    <w:rsid w:val="003D4514"/>
    <w:rsid w:val="003D64DC"/>
    <w:rsid w:val="003D7494"/>
    <w:rsid w:val="003D7768"/>
    <w:rsid w:val="003E51A9"/>
    <w:rsid w:val="003E5AD4"/>
    <w:rsid w:val="003E6C10"/>
    <w:rsid w:val="003E77FD"/>
    <w:rsid w:val="003F5D87"/>
    <w:rsid w:val="003F756A"/>
    <w:rsid w:val="00402811"/>
    <w:rsid w:val="00410BA8"/>
    <w:rsid w:val="00411CFE"/>
    <w:rsid w:val="00412C2C"/>
    <w:rsid w:val="00417333"/>
    <w:rsid w:val="00417FF6"/>
    <w:rsid w:val="00426BA5"/>
    <w:rsid w:val="0043312A"/>
    <w:rsid w:val="004365DE"/>
    <w:rsid w:val="00436822"/>
    <w:rsid w:val="00436B47"/>
    <w:rsid w:val="00440D8E"/>
    <w:rsid w:val="004527D5"/>
    <w:rsid w:val="00460B51"/>
    <w:rsid w:val="004625B6"/>
    <w:rsid w:val="004640FC"/>
    <w:rsid w:val="00467520"/>
    <w:rsid w:val="00470948"/>
    <w:rsid w:val="00472188"/>
    <w:rsid w:val="00485E77"/>
    <w:rsid w:val="00487D90"/>
    <w:rsid w:val="004965A5"/>
    <w:rsid w:val="004B05F5"/>
    <w:rsid w:val="004B2F5A"/>
    <w:rsid w:val="004C35F9"/>
    <w:rsid w:val="004C47AD"/>
    <w:rsid w:val="004C7406"/>
    <w:rsid w:val="004D04C6"/>
    <w:rsid w:val="004D11FD"/>
    <w:rsid w:val="004D1C98"/>
    <w:rsid w:val="004D34AB"/>
    <w:rsid w:val="004D4D9A"/>
    <w:rsid w:val="004D5141"/>
    <w:rsid w:val="004D5D73"/>
    <w:rsid w:val="004F04A1"/>
    <w:rsid w:val="004F6375"/>
    <w:rsid w:val="004F66EB"/>
    <w:rsid w:val="004F74E3"/>
    <w:rsid w:val="004F7FE0"/>
    <w:rsid w:val="00510889"/>
    <w:rsid w:val="00510C5B"/>
    <w:rsid w:val="00524532"/>
    <w:rsid w:val="005272AE"/>
    <w:rsid w:val="00527BDF"/>
    <w:rsid w:val="0053585B"/>
    <w:rsid w:val="00537EC4"/>
    <w:rsid w:val="0054039E"/>
    <w:rsid w:val="0054121F"/>
    <w:rsid w:val="00544885"/>
    <w:rsid w:val="0054737A"/>
    <w:rsid w:val="00550F18"/>
    <w:rsid w:val="00551FCD"/>
    <w:rsid w:val="00560763"/>
    <w:rsid w:val="00574776"/>
    <w:rsid w:val="0057680D"/>
    <w:rsid w:val="005777F0"/>
    <w:rsid w:val="005809E6"/>
    <w:rsid w:val="005844F6"/>
    <w:rsid w:val="005853C8"/>
    <w:rsid w:val="0058572C"/>
    <w:rsid w:val="005869F0"/>
    <w:rsid w:val="005929EF"/>
    <w:rsid w:val="00597C77"/>
    <w:rsid w:val="00597D0A"/>
    <w:rsid w:val="005A2BA0"/>
    <w:rsid w:val="005A3E10"/>
    <w:rsid w:val="005A5DD3"/>
    <w:rsid w:val="005A769E"/>
    <w:rsid w:val="005B10C3"/>
    <w:rsid w:val="005B2934"/>
    <w:rsid w:val="005B51B8"/>
    <w:rsid w:val="005C279A"/>
    <w:rsid w:val="005C7A36"/>
    <w:rsid w:val="005D1766"/>
    <w:rsid w:val="005E3164"/>
    <w:rsid w:val="005E5838"/>
    <w:rsid w:val="005F1034"/>
    <w:rsid w:val="00604ADA"/>
    <w:rsid w:val="00612DF4"/>
    <w:rsid w:val="006169AE"/>
    <w:rsid w:val="006236CD"/>
    <w:rsid w:val="00624C4F"/>
    <w:rsid w:val="00632E17"/>
    <w:rsid w:val="00634444"/>
    <w:rsid w:val="00653554"/>
    <w:rsid w:val="00655CDD"/>
    <w:rsid w:val="00660EE6"/>
    <w:rsid w:val="0066430D"/>
    <w:rsid w:val="0066611C"/>
    <w:rsid w:val="006740CC"/>
    <w:rsid w:val="00677BA9"/>
    <w:rsid w:val="00685B1F"/>
    <w:rsid w:val="00686D58"/>
    <w:rsid w:val="00691366"/>
    <w:rsid w:val="006946AB"/>
    <w:rsid w:val="00694BED"/>
    <w:rsid w:val="006960E6"/>
    <w:rsid w:val="006A3AB7"/>
    <w:rsid w:val="006B7E68"/>
    <w:rsid w:val="006C3080"/>
    <w:rsid w:val="006C31A7"/>
    <w:rsid w:val="006C43C1"/>
    <w:rsid w:val="006C5F7A"/>
    <w:rsid w:val="006D417D"/>
    <w:rsid w:val="006D7BB0"/>
    <w:rsid w:val="006E3833"/>
    <w:rsid w:val="006E3FA7"/>
    <w:rsid w:val="006F7628"/>
    <w:rsid w:val="00711EA6"/>
    <w:rsid w:val="00711F74"/>
    <w:rsid w:val="00724BE6"/>
    <w:rsid w:val="00724EF0"/>
    <w:rsid w:val="007276B1"/>
    <w:rsid w:val="00727EB1"/>
    <w:rsid w:val="00731B1B"/>
    <w:rsid w:val="00736E9F"/>
    <w:rsid w:val="007377CA"/>
    <w:rsid w:val="0074216E"/>
    <w:rsid w:val="00747094"/>
    <w:rsid w:val="0075088D"/>
    <w:rsid w:val="00771071"/>
    <w:rsid w:val="00771539"/>
    <w:rsid w:val="007750BF"/>
    <w:rsid w:val="00785384"/>
    <w:rsid w:val="00793C90"/>
    <w:rsid w:val="007A3ACC"/>
    <w:rsid w:val="007B1815"/>
    <w:rsid w:val="007B5F22"/>
    <w:rsid w:val="007B6A9C"/>
    <w:rsid w:val="007B7622"/>
    <w:rsid w:val="007B7D69"/>
    <w:rsid w:val="007C216D"/>
    <w:rsid w:val="007C70B9"/>
    <w:rsid w:val="007E1681"/>
    <w:rsid w:val="007E2705"/>
    <w:rsid w:val="007E5554"/>
    <w:rsid w:val="007E58B3"/>
    <w:rsid w:val="007F67F8"/>
    <w:rsid w:val="007F6959"/>
    <w:rsid w:val="007F7E04"/>
    <w:rsid w:val="00800A42"/>
    <w:rsid w:val="00807F6D"/>
    <w:rsid w:val="008125AC"/>
    <w:rsid w:val="00814ACB"/>
    <w:rsid w:val="00815C0C"/>
    <w:rsid w:val="00832D84"/>
    <w:rsid w:val="008334A8"/>
    <w:rsid w:val="00854430"/>
    <w:rsid w:val="00855194"/>
    <w:rsid w:val="00860E52"/>
    <w:rsid w:val="008667BE"/>
    <w:rsid w:val="008742F0"/>
    <w:rsid w:val="00874468"/>
    <w:rsid w:val="00883751"/>
    <w:rsid w:val="008838FB"/>
    <w:rsid w:val="0089461D"/>
    <w:rsid w:val="008950A7"/>
    <w:rsid w:val="008974FC"/>
    <w:rsid w:val="008A043F"/>
    <w:rsid w:val="008A05B5"/>
    <w:rsid w:val="008A3F9B"/>
    <w:rsid w:val="008A5E0D"/>
    <w:rsid w:val="008B22AF"/>
    <w:rsid w:val="008B3D63"/>
    <w:rsid w:val="008B7D09"/>
    <w:rsid w:val="008C6174"/>
    <w:rsid w:val="008D516E"/>
    <w:rsid w:val="008D5ADB"/>
    <w:rsid w:val="008E2BE6"/>
    <w:rsid w:val="008E6F7A"/>
    <w:rsid w:val="008E7128"/>
    <w:rsid w:val="008F4108"/>
    <w:rsid w:val="008F7B4D"/>
    <w:rsid w:val="008F7CD3"/>
    <w:rsid w:val="00905B7A"/>
    <w:rsid w:val="00905FAC"/>
    <w:rsid w:val="00907EBB"/>
    <w:rsid w:val="00920413"/>
    <w:rsid w:val="009254F2"/>
    <w:rsid w:val="00931BCC"/>
    <w:rsid w:val="00944858"/>
    <w:rsid w:val="00951915"/>
    <w:rsid w:val="00967471"/>
    <w:rsid w:val="00967C7E"/>
    <w:rsid w:val="00970125"/>
    <w:rsid w:val="0098010C"/>
    <w:rsid w:val="00981982"/>
    <w:rsid w:val="00983433"/>
    <w:rsid w:val="00990590"/>
    <w:rsid w:val="00994593"/>
    <w:rsid w:val="00995DAD"/>
    <w:rsid w:val="00996C88"/>
    <w:rsid w:val="009A58B5"/>
    <w:rsid w:val="009A7A78"/>
    <w:rsid w:val="009A7C07"/>
    <w:rsid w:val="009B5B44"/>
    <w:rsid w:val="009B655E"/>
    <w:rsid w:val="009C01FB"/>
    <w:rsid w:val="009C4EC1"/>
    <w:rsid w:val="009D1239"/>
    <w:rsid w:val="009E2A65"/>
    <w:rsid w:val="009F301A"/>
    <w:rsid w:val="009F3668"/>
    <w:rsid w:val="00A00593"/>
    <w:rsid w:val="00A0109C"/>
    <w:rsid w:val="00A040DD"/>
    <w:rsid w:val="00A07062"/>
    <w:rsid w:val="00A103DE"/>
    <w:rsid w:val="00A10E27"/>
    <w:rsid w:val="00A11283"/>
    <w:rsid w:val="00A14A0E"/>
    <w:rsid w:val="00A16E3D"/>
    <w:rsid w:val="00A20718"/>
    <w:rsid w:val="00A26DF5"/>
    <w:rsid w:val="00A300A0"/>
    <w:rsid w:val="00A3610C"/>
    <w:rsid w:val="00A361C8"/>
    <w:rsid w:val="00A40A1D"/>
    <w:rsid w:val="00A41AA5"/>
    <w:rsid w:val="00A42503"/>
    <w:rsid w:val="00A451FA"/>
    <w:rsid w:val="00A606A7"/>
    <w:rsid w:val="00A65B1D"/>
    <w:rsid w:val="00A660CB"/>
    <w:rsid w:val="00A6617B"/>
    <w:rsid w:val="00A667B7"/>
    <w:rsid w:val="00A7188E"/>
    <w:rsid w:val="00A76CB1"/>
    <w:rsid w:val="00A777FD"/>
    <w:rsid w:val="00A77F61"/>
    <w:rsid w:val="00A86719"/>
    <w:rsid w:val="00A93C84"/>
    <w:rsid w:val="00AA126A"/>
    <w:rsid w:val="00AA1C3A"/>
    <w:rsid w:val="00AA612E"/>
    <w:rsid w:val="00AA72F4"/>
    <w:rsid w:val="00AB5AA0"/>
    <w:rsid w:val="00AB5FC2"/>
    <w:rsid w:val="00AC18C5"/>
    <w:rsid w:val="00AC4645"/>
    <w:rsid w:val="00AC48DC"/>
    <w:rsid w:val="00AC7A01"/>
    <w:rsid w:val="00AD3C71"/>
    <w:rsid w:val="00AD72B0"/>
    <w:rsid w:val="00AE12A5"/>
    <w:rsid w:val="00AE164A"/>
    <w:rsid w:val="00AF34D7"/>
    <w:rsid w:val="00AF5449"/>
    <w:rsid w:val="00B02146"/>
    <w:rsid w:val="00B06824"/>
    <w:rsid w:val="00B11684"/>
    <w:rsid w:val="00B1214D"/>
    <w:rsid w:val="00B121F6"/>
    <w:rsid w:val="00B14EB5"/>
    <w:rsid w:val="00B234D5"/>
    <w:rsid w:val="00B271A8"/>
    <w:rsid w:val="00B271C6"/>
    <w:rsid w:val="00B27D91"/>
    <w:rsid w:val="00B3194F"/>
    <w:rsid w:val="00B331A5"/>
    <w:rsid w:val="00B4130B"/>
    <w:rsid w:val="00B4762E"/>
    <w:rsid w:val="00B47674"/>
    <w:rsid w:val="00B5200B"/>
    <w:rsid w:val="00B53D02"/>
    <w:rsid w:val="00B573DC"/>
    <w:rsid w:val="00B61E13"/>
    <w:rsid w:val="00B7020D"/>
    <w:rsid w:val="00B72BFE"/>
    <w:rsid w:val="00B77CF1"/>
    <w:rsid w:val="00B8789F"/>
    <w:rsid w:val="00B944A4"/>
    <w:rsid w:val="00BA504D"/>
    <w:rsid w:val="00BA50BC"/>
    <w:rsid w:val="00BC0B80"/>
    <w:rsid w:val="00BC2653"/>
    <w:rsid w:val="00BD628F"/>
    <w:rsid w:val="00BD772A"/>
    <w:rsid w:val="00BE10B3"/>
    <w:rsid w:val="00BE2687"/>
    <w:rsid w:val="00BE4354"/>
    <w:rsid w:val="00BE7A7F"/>
    <w:rsid w:val="00BF408F"/>
    <w:rsid w:val="00BF432B"/>
    <w:rsid w:val="00C02A3B"/>
    <w:rsid w:val="00C03BE5"/>
    <w:rsid w:val="00C046E8"/>
    <w:rsid w:val="00C13C20"/>
    <w:rsid w:val="00C143B7"/>
    <w:rsid w:val="00C163BB"/>
    <w:rsid w:val="00C17BC3"/>
    <w:rsid w:val="00C2035C"/>
    <w:rsid w:val="00C23915"/>
    <w:rsid w:val="00C24D74"/>
    <w:rsid w:val="00C348C2"/>
    <w:rsid w:val="00C47513"/>
    <w:rsid w:val="00C5106D"/>
    <w:rsid w:val="00C52027"/>
    <w:rsid w:val="00C6292D"/>
    <w:rsid w:val="00C63CAC"/>
    <w:rsid w:val="00C8017E"/>
    <w:rsid w:val="00C85B87"/>
    <w:rsid w:val="00C906C2"/>
    <w:rsid w:val="00C9254A"/>
    <w:rsid w:val="00CA15F4"/>
    <w:rsid w:val="00CA17E1"/>
    <w:rsid w:val="00CA4635"/>
    <w:rsid w:val="00CB0E7C"/>
    <w:rsid w:val="00CB7F3E"/>
    <w:rsid w:val="00CC449D"/>
    <w:rsid w:val="00CC50F5"/>
    <w:rsid w:val="00CC5E5D"/>
    <w:rsid w:val="00CC7509"/>
    <w:rsid w:val="00CE3809"/>
    <w:rsid w:val="00CF1BCB"/>
    <w:rsid w:val="00CF1E74"/>
    <w:rsid w:val="00CF79B6"/>
    <w:rsid w:val="00D00570"/>
    <w:rsid w:val="00D00A5A"/>
    <w:rsid w:val="00D02783"/>
    <w:rsid w:val="00D02B70"/>
    <w:rsid w:val="00D05C50"/>
    <w:rsid w:val="00D07630"/>
    <w:rsid w:val="00D1131E"/>
    <w:rsid w:val="00D16D5A"/>
    <w:rsid w:val="00D20502"/>
    <w:rsid w:val="00D374CB"/>
    <w:rsid w:val="00D405A7"/>
    <w:rsid w:val="00D42738"/>
    <w:rsid w:val="00D46F07"/>
    <w:rsid w:val="00D531B6"/>
    <w:rsid w:val="00D553FD"/>
    <w:rsid w:val="00D618B0"/>
    <w:rsid w:val="00D63D16"/>
    <w:rsid w:val="00D74343"/>
    <w:rsid w:val="00D747BA"/>
    <w:rsid w:val="00D859D7"/>
    <w:rsid w:val="00D87CEC"/>
    <w:rsid w:val="00D96FA5"/>
    <w:rsid w:val="00DA2C89"/>
    <w:rsid w:val="00DB1671"/>
    <w:rsid w:val="00DB2E3E"/>
    <w:rsid w:val="00DB6AB0"/>
    <w:rsid w:val="00DC158D"/>
    <w:rsid w:val="00DC314E"/>
    <w:rsid w:val="00DC6526"/>
    <w:rsid w:val="00DD0CB4"/>
    <w:rsid w:val="00DD13CC"/>
    <w:rsid w:val="00DD289F"/>
    <w:rsid w:val="00DE07C0"/>
    <w:rsid w:val="00DE10A4"/>
    <w:rsid w:val="00DE42FD"/>
    <w:rsid w:val="00DE7E7B"/>
    <w:rsid w:val="00DF0312"/>
    <w:rsid w:val="00E03347"/>
    <w:rsid w:val="00E1081D"/>
    <w:rsid w:val="00E13592"/>
    <w:rsid w:val="00E23058"/>
    <w:rsid w:val="00E23E2D"/>
    <w:rsid w:val="00E25720"/>
    <w:rsid w:val="00E3009B"/>
    <w:rsid w:val="00E30F26"/>
    <w:rsid w:val="00E3451F"/>
    <w:rsid w:val="00E34EB0"/>
    <w:rsid w:val="00E37032"/>
    <w:rsid w:val="00E42072"/>
    <w:rsid w:val="00E44439"/>
    <w:rsid w:val="00E46A4E"/>
    <w:rsid w:val="00E67BF9"/>
    <w:rsid w:val="00E73B0A"/>
    <w:rsid w:val="00E75258"/>
    <w:rsid w:val="00E810DE"/>
    <w:rsid w:val="00E827D7"/>
    <w:rsid w:val="00E9499B"/>
    <w:rsid w:val="00EB0786"/>
    <w:rsid w:val="00EB3B1C"/>
    <w:rsid w:val="00EB4846"/>
    <w:rsid w:val="00EC2592"/>
    <w:rsid w:val="00EC4BED"/>
    <w:rsid w:val="00EC57B8"/>
    <w:rsid w:val="00EC6FA9"/>
    <w:rsid w:val="00ED043D"/>
    <w:rsid w:val="00ED78D4"/>
    <w:rsid w:val="00EF0609"/>
    <w:rsid w:val="00EF09F4"/>
    <w:rsid w:val="00EF25DE"/>
    <w:rsid w:val="00F00ADC"/>
    <w:rsid w:val="00F03A30"/>
    <w:rsid w:val="00F04620"/>
    <w:rsid w:val="00F102E7"/>
    <w:rsid w:val="00F1340A"/>
    <w:rsid w:val="00F13FBA"/>
    <w:rsid w:val="00F15332"/>
    <w:rsid w:val="00F15B07"/>
    <w:rsid w:val="00F24EE9"/>
    <w:rsid w:val="00F278BF"/>
    <w:rsid w:val="00F31977"/>
    <w:rsid w:val="00F405A9"/>
    <w:rsid w:val="00F424F4"/>
    <w:rsid w:val="00F435B3"/>
    <w:rsid w:val="00F5003D"/>
    <w:rsid w:val="00F610A4"/>
    <w:rsid w:val="00F64C5B"/>
    <w:rsid w:val="00F761CF"/>
    <w:rsid w:val="00F7685B"/>
    <w:rsid w:val="00F968E8"/>
    <w:rsid w:val="00FA09A9"/>
    <w:rsid w:val="00FB2190"/>
    <w:rsid w:val="00FB414C"/>
    <w:rsid w:val="00FB54E5"/>
    <w:rsid w:val="00FB69C4"/>
    <w:rsid w:val="00FC04B0"/>
    <w:rsid w:val="00FC0B53"/>
    <w:rsid w:val="00FC1477"/>
    <w:rsid w:val="00FC6ED7"/>
    <w:rsid w:val="00FD529C"/>
    <w:rsid w:val="00FD73FA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737F"/>
  <w15:docId w15:val="{1AEBC6E7-1202-46C4-8278-2F0F09C4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аголовок1"/>
    <w:qFormat/>
    <w:rsid w:val="005809E6"/>
    <w:rPr>
      <w:b/>
      <w:color w:val="FF0000"/>
      <w:sz w:val="28"/>
    </w:rPr>
  </w:style>
  <w:style w:type="paragraph" w:styleId="1">
    <w:name w:val="heading 1"/>
    <w:basedOn w:val="a"/>
    <w:link w:val="10"/>
    <w:uiPriority w:val="9"/>
    <w:qFormat/>
    <w:rsid w:val="00DD0CB4"/>
    <w:pPr>
      <w:spacing w:before="100" w:beforeAutospacing="1" w:after="100" w:afterAutospacing="1" w:line="240" w:lineRule="auto"/>
      <w:outlineLvl w:val="0"/>
    </w:pPr>
    <w:rPr>
      <w:rFonts w:ascii="Arial" w:eastAsia="Times New Roman" w:hAnsi="Arial"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unhideWhenUsed/>
    <w:qFormat/>
    <w:rsid w:val="00DD0CB4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70C0"/>
      <w:sz w:val="22"/>
      <w:szCs w:val="26"/>
    </w:rPr>
  </w:style>
  <w:style w:type="paragraph" w:styleId="3">
    <w:name w:val="heading 3"/>
    <w:basedOn w:val="a"/>
    <w:next w:val="a"/>
    <w:link w:val="30"/>
    <w:qFormat/>
    <w:rsid w:val="00DD0CB4"/>
    <w:pPr>
      <w:keepNext/>
      <w:keepLines/>
      <w:spacing w:before="240" w:after="240" w:line="240" w:lineRule="auto"/>
      <w:ind w:left="709"/>
      <w:outlineLvl w:val="2"/>
    </w:pPr>
    <w:rPr>
      <w:rFonts w:ascii="Arial" w:eastAsia="Times New Roman" w:hAnsi="Arial" w:cs="Calibri Light"/>
      <w:color w:val="0070C0"/>
      <w:sz w:val="20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607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CB4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20">
    <w:name w:val="Заголовок 2 Знак"/>
    <w:basedOn w:val="a0"/>
    <w:link w:val="2"/>
    <w:rsid w:val="00DD0CB4"/>
    <w:rPr>
      <w:rFonts w:ascii="Arial" w:eastAsiaTheme="majorEastAsia" w:hAnsi="Arial" w:cstheme="majorBidi"/>
      <w:b/>
      <w:color w:val="0070C0"/>
      <w:szCs w:val="26"/>
    </w:rPr>
  </w:style>
  <w:style w:type="character" w:customStyle="1" w:styleId="30">
    <w:name w:val="Заголовок 3 Знак"/>
    <w:basedOn w:val="a0"/>
    <w:link w:val="3"/>
    <w:rsid w:val="00DD0CB4"/>
    <w:rPr>
      <w:rFonts w:ascii="Arial" w:eastAsia="Times New Roman" w:hAnsi="Arial" w:cs="Calibri Light"/>
      <w:b/>
      <w:color w:val="0070C0"/>
      <w:sz w:val="20"/>
      <w:szCs w:val="24"/>
      <w:lang w:val="en-US"/>
    </w:rPr>
  </w:style>
  <w:style w:type="paragraph" w:customStyle="1" w:styleId="a3">
    <w:name w:val="Источник"/>
    <w:basedOn w:val="a"/>
    <w:autoRedefine/>
    <w:qFormat/>
    <w:rsid w:val="00560763"/>
    <w:pPr>
      <w:spacing w:before="120" w:after="120" w:line="240" w:lineRule="auto"/>
      <w:jc w:val="right"/>
    </w:pPr>
    <w:rPr>
      <w:rFonts w:asciiTheme="majorHAnsi" w:eastAsia="Calibri" w:hAnsiTheme="majorHAnsi" w:cstheme="majorHAnsi"/>
      <w:b w:val="0"/>
      <w:i/>
      <w:color w:val="000000" w:themeColor="text1"/>
      <w:sz w:val="16"/>
    </w:rPr>
  </w:style>
  <w:style w:type="paragraph" w:customStyle="1" w:styleId="a4">
    <w:name w:val="Названия таблиц и диаграмм"/>
    <w:basedOn w:val="a"/>
    <w:qFormat/>
    <w:rsid w:val="000C08DF"/>
    <w:pPr>
      <w:spacing w:before="120" w:after="120" w:line="240" w:lineRule="auto"/>
      <w:jc w:val="center"/>
    </w:pPr>
    <w:rPr>
      <w:rFonts w:ascii="Arial" w:eastAsia="Calibri" w:hAnsi="Arial" w:cs="Calibri"/>
      <w:color w:val="0070C0"/>
      <w:sz w:val="20"/>
    </w:rPr>
  </w:style>
  <w:style w:type="paragraph" w:styleId="a5">
    <w:name w:val="List Paragraph"/>
    <w:basedOn w:val="a"/>
    <w:link w:val="a6"/>
    <w:uiPriority w:val="34"/>
    <w:qFormat/>
    <w:rsid w:val="003269E8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C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DF4"/>
    <w:rPr>
      <w:rFonts w:ascii="Tahoma" w:hAnsi="Tahoma" w:cs="Tahoma"/>
      <w:b/>
      <w:color w:val="FF0000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9D123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D1239"/>
    <w:rPr>
      <w:b/>
      <w:color w:val="FF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D1239"/>
    <w:rPr>
      <w:vertAlign w:val="superscript"/>
    </w:rPr>
  </w:style>
  <w:style w:type="table" w:customStyle="1" w:styleId="27">
    <w:name w:val="Сетка таблицы27"/>
    <w:basedOn w:val="a1"/>
    <w:uiPriority w:val="59"/>
    <w:rsid w:val="001D7A47"/>
    <w:pPr>
      <w:spacing w:after="0" w:line="240" w:lineRule="auto"/>
    </w:pPr>
    <w:rPr>
      <w:rFonts w:ascii="Arial" w:eastAsia="Calibri" w:hAnsi="Arial" w:cs="Times New Roman"/>
      <w:sz w:val="18"/>
    </w:rPr>
    <w:tblPr>
      <w:tblStyleRowBandSize w:val="1"/>
      <w:tblInd w:w="0" w:type="nil"/>
      <w:tblBorders>
        <w:top w:val="single" w:sz="4" w:space="0" w:color="FFFFFF"/>
        <w:bottom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pPr>
        <w:jc w:val="center"/>
      </w:pPr>
      <w:rPr>
        <w:rFonts w:ascii="Arial" w:hAnsi="Arial" w:cs="Arial" w:hint="default"/>
        <w:b/>
        <w:color w:val="FFFFFF"/>
        <w:sz w:val="18"/>
        <w:szCs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 w:cs="Arial" w:hint="default"/>
        <w:b/>
        <w:color w:val="FF0000"/>
        <w:sz w:val="18"/>
        <w:szCs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 w:cs="Arial" w:hint="default"/>
        <w:color w:val="000000"/>
        <w:sz w:val="16"/>
        <w:szCs w:val="16"/>
      </w:rPr>
      <w:tblPr/>
      <w:tcPr>
        <w:shd w:val="clear" w:color="auto" w:fill="FFFFFF"/>
      </w:tcPr>
    </w:tblStylePr>
    <w:tblStylePr w:type="band2Horz">
      <w:pPr>
        <w:jc w:val="center"/>
      </w:pPr>
      <w:rPr>
        <w:rFonts w:ascii="Arial" w:hAnsi="Arial" w:cs="Arial" w:hint="default"/>
        <w:color w:val="000000"/>
        <w:sz w:val="18"/>
        <w:szCs w:val="18"/>
      </w:rPr>
      <w:tblPr/>
      <w:tcPr>
        <w:shd w:val="clear" w:color="auto" w:fill="EBEBF0"/>
      </w:tcPr>
    </w:tblStylePr>
  </w:style>
  <w:style w:type="character" w:customStyle="1" w:styleId="a6">
    <w:name w:val="Абзац списка Знак"/>
    <w:basedOn w:val="a0"/>
    <w:link w:val="a5"/>
    <w:uiPriority w:val="34"/>
    <w:locked/>
    <w:rsid w:val="00E46A4E"/>
    <w:rPr>
      <w:b/>
      <w:color w:val="FF0000"/>
      <w:sz w:val="28"/>
    </w:rPr>
  </w:style>
  <w:style w:type="table" w:styleId="ac">
    <w:name w:val="Table Grid"/>
    <w:basedOn w:val="a1"/>
    <w:uiPriority w:val="39"/>
    <w:rsid w:val="0087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560763"/>
    <w:rPr>
      <w:rFonts w:asciiTheme="majorHAnsi" w:eastAsiaTheme="majorEastAsia" w:hAnsiTheme="majorHAnsi" w:cstheme="majorBidi"/>
      <w:b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6076-81FE-4965-944E-8301C7DD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Григорьевна Никулина</dc:creator>
  <cp:keywords/>
  <dc:description/>
  <cp:lastModifiedBy>Болушева Ольга Александровна</cp:lastModifiedBy>
  <cp:revision>3</cp:revision>
  <dcterms:created xsi:type="dcterms:W3CDTF">2024-11-20T08:15:00Z</dcterms:created>
  <dcterms:modified xsi:type="dcterms:W3CDTF">2024-11-20T08:16:00Z</dcterms:modified>
</cp:coreProperties>
</file>