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08BD" w14:textId="77777777" w:rsidR="00463D5C" w:rsidRDefault="00463D5C" w:rsidP="00463D5C">
      <w:pPr>
        <w:rPr>
          <w:rFonts w:ascii="Arial" w:eastAsia="Calibri" w:hAnsi="Arial" w:cs="Arial"/>
          <w:color w:val="0070C0"/>
          <w:sz w:val="22"/>
        </w:rPr>
      </w:pPr>
      <w:r>
        <w:rPr>
          <w:rFonts w:ascii="Arial" w:eastAsia="Calibri" w:hAnsi="Arial" w:cs="Arial"/>
          <w:color w:val="0070C0"/>
          <w:sz w:val="22"/>
        </w:rPr>
        <w:t>Прогноз рынка новых автобусов на 2024–2025 гг.</w:t>
      </w:r>
    </w:p>
    <w:p w14:paraId="7E2642E0" w14:textId="77777777" w:rsidR="00463D5C" w:rsidRPr="006C31A7" w:rsidRDefault="00463D5C" w:rsidP="00463D5C">
      <w:pPr>
        <w:spacing w:after="0"/>
        <w:ind w:firstLine="284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807F6D">
        <w:rPr>
          <w:rFonts w:ascii="Arial" w:hAnsi="Arial" w:cs="Arial"/>
          <w:b w:val="0"/>
          <w:color w:val="auto"/>
          <w:sz w:val="20"/>
          <w:szCs w:val="20"/>
        </w:rPr>
        <w:t xml:space="preserve">Прогноз по рынку новых 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автобусов </w:t>
      </w:r>
      <w:r w:rsidRPr="00807F6D">
        <w:rPr>
          <w:rFonts w:ascii="Arial" w:hAnsi="Arial" w:cs="Arial"/>
          <w:b w:val="0"/>
          <w:color w:val="auto"/>
          <w:sz w:val="20"/>
          <w:szCs w:val="20"/>
        </w:rPr>
        <w:t xml:space="preserve">сформирован с построением трех сценариев: базового, оптимистичного и пессимистичного. </w:t>
      </w:r>
    </w:p>
    <w:p w14:paraId="1CE09445" w14:textId="77777777" w:rsidR="00463D5C" w:rsidRPr="00CF1E74" w:rsidRDefault="00463D5C" w:rsidP="00463D5C">
      <w:pPr>
        <w:spacing w:before="240"/>
        <w:ind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CF1E74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Согласно всем трем сценариям прогноза на российский автомобильный рынок </w:t>
      </w:r>
      <w:r w:rsidRPr="00001100">
        <w:rPr>
          <w:rFonts w:ascii="Arial" w:hAnsi="Arial" w:cs="Arial"/>
          <w:b w:val="0"/>
          <w:bCs/>
          <w:color w:val="000000" w:themeColor="text1"/>
          <w:sz w:val="20"/>
          <w:szCs w:val="20"/>
        </w:rPr>
        <w:t xml:space="preserve">оказывают </w:t>
      </w:r>
      <w:r w:rsidRPr="00CF1E74">
        <w:rPr>
          <w:rFonts w:ascii="Arial" w:hAnsi="Arial" w:cs="Arial"/>
          <w:b w:val="0"/>
          <w:color w:val="000000" w:themeColor="text1"/>
          <w:sz w:val="20"/>
          <w:szCs w:val="20"/>
        </w:rPr>
        <w:t>негативное влияние следующие факторы</w:t>
      </w:r>
      <w:r>
        <w:rPr>
          <w:rFonts w:ascii="Arial" w:hAnsi="Arial" w:cs="Arial"/>
          <w:b w:val="0"/>
          <w:color w:val="000000" w:themeColor="text1"/>
          <w:sz w:val="20"/>
          <w:szCs w:val="20"/>
        </w:rPr>
        <w:t>.</w:t>
      </w:r>
    </w:p>
    <w:p w14:paraId="6EA4EF82" w14:textId="77777777" w:rsidR="00463D5C" w:rsidRPr="00BB1C92" w:rsidRDefault="00463D5C" w:rsidP="00463D5C">
      <w:pPr>
        <w:spacing w:after="0"/>
        <w:ind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476F5A">
        <w:rPr>
          <w:rFonts w:ascii="Arial" w:hAnsi="Arial" w:cs="Arial"/>
          <w:b w:val="0"/>
          <w:color w:val="000000" w:themeColor="text1"/>
          <w:sz w:val="20"/>
          <w:szCs w:val="20"/>
        </w:rPr>
        <w:t>1.</w:t>
      </w:r>
      <w:r w:rsidRPr="00CF1E74">
        <w:rPr>
          <w:rFonts w:ascii="Arial" w:hAnsi="Arial" w:cs="Arial"/>
          <w:bCs/>
          <w:color w:val="000000" w:themeColor="text1"/>
          <w:sz w:val="20"/>
          <w:szCs w:val="20"/>
        </w:rPr>
        <w:t>Санкции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(ЕС, США и других стран)</w:t>
      </w:r>
      <w:r w:rsidRPr="00CF1E74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Pr="00CF1E74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Pr="00A00593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После 24 февраля 2022 г. против РФ были введены экономические санкции, которые затронули в том числе и автомобильный рынок. </w:t>
      </w:r>
      <w:r w:rsidRPr="00BB1C92">
        <w:rPr>
          <w:rFonts w:ascii="Arial" w:hAnsi="Arial" w:cs="Arial"/>
          <w:b w:val="0"/>
          <w:color w:val="000000" w:themeColor="text1"/>
          <w:sz w:val="20"/>
          <w:szCs w:val="20"/>
        </w:rPr>
        <w:t>Действует запрет на экспорт в РФ автобусов, компонентов для автопроизводителей, запчастей, технологий и оборудования. Введение санкций не так сильно повлияло на производство и рынок автобусов, как в сегментах легковых и грузовых автомобилей. Автобусы российских брендов и до введения санкций преобладали на российском рынке. Зависимость от иностранных поставщиков компонентов, технологий была не такая сильная. После введения санкций российские автобусы сохранили доминирующее положение на рынке, увеличились и поставки китайской техники, особенно в сегменте туристических автобусов за счет ухода других иностранных брендов.</w:t>
      </w:r>
    </w:p>
    <w:p w14:paraId="48854344" w14:textId="12B860A2" w:rsidR="00463D5C" w:rsidRPr="00293D0F" w:rsidRDefault="00463D5C" w:rsidP="00463D5C">
      <w:pPr>
        <w:ind w:firstLine="284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293D0F">
        <w:rPr>
          <w:rFonts w:ascii="Arial" w:hAnsi="Arial" w:cs="Arial"/>
          <w:b w:val="0"/>
          <w:color w:val="auto"/>
          <w:sz w:val="20"/>
          <w:szCs w:val="20"/>
        </w:rPr>
        <w:t xml:space="preserve">Исходя из мировых политических трендов мы предполагаем, что санкции против РФ сохранятся в 2024–2025 годах. </w:t>
      </w:r>
    </w:p>
    <w:p w14:paraId="3B72570E" w14:textId="77777777" w:rsidR="00463D5C" w:rsidRPr="00BB1C92" w:rsidRDefault="00463D5C" w:rsidP="00463D5C">
      <w:pPr>
        <w:ind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BB1C9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2. </w:t>
      </w:r>
      <w:r w:rsidRPr="00BB1C92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Высокие процентные ставки по кредиту и лизингу.</w:t>
      </w:r>
      <w:r w:rsidRPr="00BB1C92">
        <w:rPr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26 июля 2024 г. ЦБ РФ повысил ключевую ставку до 18% (с 1 января по 25 июля 2024 г. ключевая ставка составляла 16%). С ростом ключевой ставки растут ставки по кредитам и лизингу, что делает эти финансовые инструменты менее доступными. Негативное влияние высоких ставок по лизингу и кредиту сохранится во второй половине 2024 и в 2025 году. Процентные ставки по лизингу и кредиту будут зависеть от ключевой ставки ЦБ РФ, которая может быть еще увеличена в 2024</w:t>
      </w:r>
      <w:r w:rsidRPr="00BB1C92">
        <w:rPr>
          <w:rStyle w:val="afe"/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footnoteReference w:id="1"/>
      </w:r>
      <w:r w:rsidRPr="00BB1C92">
        <w:rPr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или в 2025 году.</w:t>
      </w:r>
    </w:p>
    <w:p w14:paraId="2C827546" w14:textId="77777777" w:rsidR="00463D5C" w:rsidRPr="00BB1C92" w:rsidRDefault="00463D5C" w:rsidP="00463D5C">
      <w:pPr>
        <w:spacing w:after="0"/>
        <w:ind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color w:val="auto"/>
          <w:sz w:val="20"/>
          <w:szCs w:val="20"/>
        </w:rPr>
        <w:t>3.</w:t>
      </w:r>
      <w:r>
        <w:rPr>
          <w:rFonts w:ascii="Arial" w:eastAsia="Calibri" w:hAnsi="Arial" w:cs="Arial"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476F5A">
        <w:rPr>
          <w:rFonts w:ascii="Arial" w:eastAsia="Calibri" w:hAnsi="Arial" w:cs="Arial"/>
          <w:bCs/>
          <w:color w:val="000000"/>
          <w:sz w:val="20"/>
          <w:szCs w:val="20"/>
          <w:bdr w:val="none" w:sz="0" w:space="0" w:color="auto" w:frame="1"/>
          <w:lang w:eastAsia="ru-RU"/>
        </w:rPr>
        <w:t>Рост утилизационного сбора и ужесточение условий сертификации импортируемой техники</w:t>
      </w:r>
      <w:r w:rsidRPr="00476F5A">
        <w:rPr>
          <w:rFonts w:ascii="Arial" w:eastAsia="Calibri" w:hAnsi="Arial" w:cs="Arial"/>
          <w:b w:val="0"/>
          <w:color w:val="000000"/>
          <w:sz w:val="20"/>
          <w:szCs w:val="20"/>
          <w:bdr w:val="none" w:sz="0" w:space="0" w:color="auto" w:frame="1"/>
          <w:lang w:eastAsia="ru-RU"/>
        </w:rPr>
        <w:t xml:space="preserve">. </w:t>
      </w:r>
      <w:r w:rsidRPr="00476F5A">
        <w:rPr>
          <w:rFonts w:ascii="Arial" w:eastAsia="Calibri" w:hAnsi="Arial" w:cs="Arial"/>
          <w:b w:val="0"/>
          <w:color w:val="auto"/>
          <w:sz w:val="20"/>
          <w:szCs w:val="20"/>
          <w:bdr w:val="none" w:sz="0" w:space="0" w:color="auto" w:frame="1"/>
          <w:lang w:eastAsia="ru-RU"/>
        </w:rPr>
        <w:t xml:space="preserve">С августа 2023 г. были увеличены коэффициенты утилизационного сбора на </w:t>
      </w:r>
      <w:r w:rsidRPr="00AA27AB">
        <w:rPr>
          <w:rFonts w:ascii="Arial" w:eastAsia="Calibri" w:hAnsi="Arial" w:cs="Arial"/>
          <w:b w:val="0"/>
          <w:color w:val="auto"/>
          <w:sz w:val="20"/>
          <w:szCs w:val="20"/>
          <w:bdr w:val="none" w:sz="0" w:space="0" w:color="auto" w:frame="1"/>
          <w:lang w:eastAsia="ru-RU"/>
        </w:rPr>
        <w:t>автобусы.</w:t>
      </w:r>
      <w:r w:rsidRPr="00476F5A">
        <w:rPr>
          <w:rFonts w:ascii="Arial" w:eastAsia="Calibri" w:hAnsi="Arial" w:cs="Arial"/>
          <w:b w:val="0"/>
          <w:color w:val="auto"/>
          <w:sz w:val="20"/>
          <w:szCs w:val="20"/>
          <w:bdr w:val="none" w:sz="0" w:space="0" w:color="auto" w:frame="1"/>
          <w:lang w:eastAsia="ru-RU"/>
        </w:rPr>
        <w:t xml:space="preserve"> </w:t>
      </w:r>
      <w:r w:rsidRPr="00476F5A">
        <w:rPr>
          <w:rFonts w:ascii="Arial" w:eastAsia="Calibri" w:hAnsi="Arial" w:cs="Arial"/>
          <w:b w:val="0"/>
          <w:bCs/>
          <w:color w:val="auto"/>
          <w:sz w:val="20"/>
          <w:szCs w:val="20"/>
          <w:bdr w:val="none" w:sz="0" w:space="0" w:color="auto" w:frame="1"/>
          <w:lang w:eastAsia="ru-RU"/>
        </w:rPr>
        <w:t>Учитывая то, что российским автопроизводителям, подписавшим СПИК, затраты по уплате утилизационного сбора компенсируются в виде промышленных субсидий,</w:t>
      </w:r>
      <w:r w:rsidRPr="00476F5A">
        <w:rPr>
          <w:rFonts w:ascii="Arial" w:eastAsia="Calibri" w:hAnsi="Arial" w:cs="Arial"/>
          <w:b w:val="0"/>
          <w:color w:val="auto"/>
          <w:sz w:val="20"/>
          <w:szCs w:val="20"/>
          <w:bdr w:val="none" w:sz="0" w:space="0" w:color="auto" w:frame="1"/>
          <w:lang w:eastAsia="ru-RU"/>
        </w:rPr>
        <w:t xml:space="preserve"> его повышение прежде всего негативно сказывается на ценах на китайские </w:t>
      </w:r>
      <w:r w:rsidRPr="00BB1C92">
        <w:rPr>
          <w:rFonts w:ascii="Arial" w:eastAsia="Calibri" w:hAnsi="Arial" w:cs="Arial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автобусы. Также </w:t>
      </w:r>
      <w:r w:rsidRPr="00BB1C92">
        <w:rPr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с 1 апреля 2024 г. налоги и сборы, которые были не доплачены из-за занижения таможенной стоимости транспортных средств, ввезенных в РФ из стран ЕАЭС, учитываются в составе утилизационного сбора. С 1 октября 2024 г. ожидается новое повышение утилизационного сбора на </w:t>
      </w:r>
      <w:r w:rsidRPr="00BB1C92">
        <w:rPr>
          <w:rFonts w:ascii="Arial" w:eastAsia="Calibri" w:hAnsi="Arial" w:cs="Arial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автобусы</w:t>
      </w:r>
      <w:r w:rsidRPr="00BB1C92">
        <w:rPr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. </w:t>
      </w:r>
      <w:r w:rsidRPr="00BB1C92">
        <w:rPr>
          <w:rFonts w:ascii="Arial" w:eastAsia="Calibri" w:hAnsi="Arial" w:cs="Arial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В</w:t>
      </w:r>
      <w:bookmarkStart w:id="0" w:name="_Hlk171863396"/>
      <w:r w:rsidRPr="00BB1C92">
        <w:rPr>
          <w:rFonts w:ascii="Arial" w:eastAsia="Calibri" w:hAnsi="Arial" w:cs="Arial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2025 год</w:t>
      </w:r>
      <w:bookmarkEnd w:id="0"/>
      <w:r w:rsidRPr="00BB1C92">
        <w:rPr>
          <w:rFonts w:ascii="Arial" w:eastAsia="Calibri" w:hAnsi="Arial" w:cs="Arial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у ожидается дальнейшая индексация коэффициентов утилизационного сбора.</w:t>
      </w:r>
    </w:p>
    <w:p w14:paraId="23D9D952" w14:textId="02D21928" w:rsidR="00463D5C" w:rsidRDefault="00463D5C" w:rsidP="00463D5C">
      <w:pPr>
        <w:pStyle w:val="af3"/>
        <w:ind w:left="0"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</w:pPr>
      <w:r w:rsidRPr="00463D5C">
        <w:rPr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С 1 октября 2023 г. сертификация автобусов тех брендов, которые не прекращали официальные поставки в Россию,</w:t>
      </w: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и не </w:t>
      </w:r>
      <w:r w:rsidRPr="00463D5C">
        <w:rPr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включены в перечень брендов, разрешенных к параллельному импорту, осуществляется в рамках технического регламента «О безопасности колесных транспортных средств». На автобусы этих брендов оформляется ОТТС, ранее можно было оформлять ЗОЕТС по упрощенной процедуре. Для юридических лиц обязательна установка системы ЭРА-ГЛОНАСС при ввозе автомобильной техники. Данные требования будут сохраняться во 2 полугодии 2024 и 2025 года</w:t>
      </w:r>
    </w:p>
    <w:p w14:paraId="511BC3C9" w14:textId="1221B33E" w:rsidR="00463D5C" w:rsidRDefault="00463D5C" w:rsidP="00463D5C">
      <w:pPr>
        <w:pStyle w:val="af3"/>
        <w:ind w:left="0"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</w:pPr>
      <w:r w:rsidRPr="00463D5C">
        <w:rPr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>Рост утилизационного сбора и ужесточение условий сертификации импортируемой техники приводит к повышению цен на автобусы, что негативно сказывается на рынке.</w:t>
      </w:r>
    </w:p>
    <w:p w14:paraId="31E612F0" w14:textId="77777777" w:rsidR="00463D5C" w:rsidRPr="00463D5C" w:rsidRDefault="00463D5C" w:rsidP="00463D5C">
      <w:pPr>
        <w:pStyle w:val="af3"/>
        <w:ind w:left="0"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</w:pPr>
    </w:p>
    <w:p w14:paraId="0CDF1686" w14:textId="62714A9E" w:rsidR="00463D5C" w:rsidRDefault="00463D5C" w:rsidP="00463D5C">
      <w:pPr>
        <w:pStyle w:val="af3"/>
        <w:spacing w:before="240"/>
        <w:ind w:left="0"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</w:pPr>
      <w:r w:rsidRPr="00463D5C">
        <w:rPr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4. </w:t>
      </w:r>
      <w:r w:rsidRPr="00463D5C">
        <w:rPr>
          <w:rFonts w:ascii="Arial" w:eastAsia="Calibri" w:hAnsi="Arial" w:cs="Arial"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Реализация отложенного спроса.</w:t>
      </w:r>
      <w:r w:rsidRPr="00463D5C">
        <w:rPr>
          <w:rFonts w:ascii="Arial" w:eastAsia="Calibri" w:hAnsi="Arial" w:cs="Arial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</w:t>
      </w:r>
      <w:r w:rsidRPr="00463D5C">
        <w:rPr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Отложенный спрос туристических и других частных компаний в новых автобусах был частично удовлетворен в 2023 г., и они не будут так же интенсивно обновлять и расширять парки в 2024–2025 годах. </w:t>
      </w:r>
    </w:p>
    <w:p w14:paraId="2F48698A" w14:textId="77777777" w:rsidR="00463D5C" w:rsidRPr="00463D5C" w:rsidRDefault="00463D5C" w:rsidP="00463D5C">
      <w:pPr>
        <w:pStyle w:val="af3"/>
        <w:spacing w:before="240"/>
        <w:ind w:left="0"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</w:pPr>
    </w:p>
    <w:p w14:paraId="656FBFDC" w14:textId="77777777" w:rsidR="00463D5C" w:rsidRPr="00463D5C" w:rsidRDefault="00463D5C" w:rsidP="00463D5C">
      <w:pPr>
        <w:pStyle w:val="af3"/>
        <w:ind w:left="0"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  <w:bdr w:val="none" w:sz="0" w:space="0" w:color="auto" w:frame="1"/>
          <w:lang w:eastAsia="ru-RU"/>
        </w:rPr>
      </w:pPr>
      <w:r w:rsidRPr="00463D5C">
        <w:rPr>
          <w:rFonts w:ascii="Arial" w:hAnsi="Arial" w:cs="Arial"/>
          <w:b w:val="0"/>
          <w:color w:val="auto"/>
          <w:sz w:val="20"/>
          <w:szCs w:val="20"/>
          <w:bdr w:val="none" w:sz="0" w:space="0" w:color="auto" w:frame="1"/>
          <w:lang w:eastAsia="ru-RU"/>
        </w:rPr>
        <w:lastRenderedPageBreak/>
        <w:t>5.</w:t>
      </w:r>
      <w:r w:rsidRPr="00463D5C">
        <w:rPr>
          <w:rFonts w:ascii="Arial" w:hAnsi="Arial" w:cs="Arial"/>
          <w:bCs/>
          <w:color w:val="000000" w:themeColor="text1"/>
          <w:sz w:val="20"/>
          <w:szCs w:val="20"/>
        </w:rPr>
        <w:t xml:space="preserve"> Налоговая реформа 2025 г.</w:t>
      </w: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В 2025 г. в РФ будет проведена налоговая реформа и вырастет налоговая нагрузка на компании, индивидуальных предпринимателей, что приведет к дальнейшему росту цен на автобусную технику, запчасти, сервисное обслуживание и т. д. На фоне роста налоговой нагрузки, высоких ставок по автокредитам, лизингу и роста цен у </w:t>
      </w:r>
      <w:r w:rsidRPr="00463D5C">
        <w:rPr>
          <w:rFonts w:ascii="Arial" w:hAnsi="Arial" w:cs="Arial"/>
          <w:b w:val="0"/>
          <w:bCs/>
          <w:color w:val="000000" w:themeColor="text1"/>
          <w:sz w:val="20"/>
          <w:szCs w:val="20"/>
        </w:rPr>
        <w:t>компаний, занимающихся автобусными перевозками, у корпоративных владельцев</w:t>
      </w: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снизятся финансовые возможности к обновлению и расширению парков автобусов.</w:t>
      </w:r>
    </w:p>
    <w:p w14:paraId="0B204912" w14:textId="77777777" w:rsidR="00463D5C" w:rsidRPr="00463D5C" w:rsidRDefault="00463D5C" w:rsidP="00463D5C">
      <w:pPr>
        <w:pStyle w:val="af3"/>
        <w:spacing w:before="240"/>
        <w:ind w:left="0"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</w:p>
    <w:p w14:paraId="709FEB76" w14:textId="0C87A07E" w:rsidR="00463D5C" w:rsidRDefault="00463D5C" w:rsidP="00463D5C">
      <w:pPr>
        <w:pStyle w:val="af3"/>
        <w:spacing w:before="240"/>
        <w:ind w:left="0"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>Тем не менее, существуют факторы, позволяющие сгладить негативные тенденции на рынке новых автобусов в 2024–2025 гг.</w:t>
      </w:r>
    </w:p>
    <w:p w14:paraId="4A24C37C" w14:textId="77777777" w:rsidR="00463D5C" w:rsidRPr="00463D5C" w:rsidRDefault="00463D5C" w:rsidP="00463D5C">
      <w:pPr>
        <w:pStyle w:val="af3"/>
        <w:spacing w:before="240"/>
        <w:ind w:left="0"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</w:p>
    <w:p w14:paraId="42190959" w14:textId="77777777" w:rsidR="00463D5C" w:rsidRPr="00463D5C" w:rsidRDefault="00463D5C" w:rsidP="00463D5C">
      <w:pPr>
        <w:pStyle w:val="af3"/>
        <w:ind w:left="0" w:firstLine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>1.</w:t>
      </w:r>
      <w:r w:rsidRPr="00463D5C">
        <w:rPr>
          <w:rFonts w:ascii="Arial" w:hAnsi="Arial" w:cs="Arial"/>
          <w:bCs/>
          <w:color w:val="000000" w:themeColor="text1"/>
          <w:sz w:val="20"/>
          <w:szCs w:val="20"/>
        </w:rPr>
        <w:t xml:space="preserve"> Меры государственной поддержки рынка автобусов на традиционных типах топлива, газомоторном топливе и электробусов. </w:t>
      </w: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</w:p>
    <w:p w14:paraId="5588825C" w14:textId="77777777" w:rsidR="00463D5C" w:rsidRPr="00463D5C" w:rsidRDefault="00463D5C" w:rsidP="00463D5C">
      <w:pPr>
        <w:pStyle w:val="af3"/>
        <w:spacing w:before="240"/>
        <w:ind w:left="0"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В 2024 г. для рынка автобусов действуют меры государственной поддержки. В 2024 году автобусы попадают под программы льготного лизинга. На эти программы в 2024 году было выделено 9 млрд руб. (седельные тягачи, беспилотные грузовые автомобили, автобусы (в т. ч. электробусы), микроавтобусы, электромобили). </w:t>
      </w:r>
      <w:r w:rsidRPr="00463D5C">
        <w:rPr>
          <w:rFonts w:ascii="Arial" w:hAnsi="Arial" w:cs="Arial"/>
          <w:b w:val="0"/>
          <w:bCs/>
          <w:color w:val="000000" w:themeColor="text1"/>
          <w:sz w:val="20"/>
          <w:szCs w:val="20"/>
        </w:rPr>
        <w:t>В 2025 году действие программ льготного лизинга продолжится с бюджетом в 11 млрд. руб. (все типы автомобилей, которые попадут под действие программы).</w:t>
      </w:r>
    </w:p>
    <w:p w14:paraId="70FDD3E4" w14:textId="77777777" w:rsidR="00463D5C" w:rsidRPr="00463D5C" w:rsidRDefault="00463D5C" w:rsidP="00463D5C">
      <w:pPr>
        <w:pStyle w:val="af3"/>
        <w:spacing w:before="240"/>
        <w:ind w:left="0"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В 2024 году автобусы попадают под закупки в рамках программы перевода техники на газомоторное топливо по Постановлению Правительства РФ от 13.05.2020 </w:t>
      </w:r>
      <w:r w:rsidRPr="00BB1C92">
        <w:rPr>
          <w:rFonts w:ascii="Arial" w:hAnsi="Arial" w:cs="Arial"/>
          <w:b w:val="0"/>
          <w:color w:val="000000" w:themeColor="text1"/>
          <w:sz w:val="20"/>
          <w:szCs w:val="20"/>
        </w:rPr>
        <w:t>N</w:t>
      </w: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669, но ожидаемые объемы таких закупок официально не опубликованы. </w:t>
      </w:r>
    </w:p>
    <w:p w14:paraId="54B6D52D" w14:textId="77777777" w:rsidR="00463D5C" w:rsidRPr="00463D5C" w:rsidRDefault="00463D5C" w:rsidP="00463D5C">
      <w:pPr>
        <w:pStyle w:val="af3"/>
        <w:spacing w:before="240"/>
        <w:ind w:left="0"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>В рамках нацпроекта «Безопасные качественные дороги» в 2024 г. будет поставлено 7,4 тыс. автобусов, троллейбусов, электробусов и трамваев в 81 регион РФ.</w:t>
      </w:r>
      <w:r w:rsidRPr="00463D5C">
        <w:rPr>
          <w:color w:val="000000" w:themeColor="text1"/>
        </w:rPr>
        <w:t xml:space="preserve"> </w:t>
      </w: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>Конкретное количество техники каждого типа, которое будет закуплено по программе, не публиковалось.</w:t>
      </w:r>
    </w:p>
    <w:p w14:paraId="051D093A" w14:textId="77777777" w:rsidR="00463D5C" w:rsidRPr="00463D5C" w:rsidRDefault="00463D5C" w:rsidP="00463D5C">
      <w:pPr>
        <w:pStyle w:val="af3"/>
        <w:spacing w:before="240"/>
        <w:ind w:left="0"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>Также планируются закупки автобусов в рамках программы «Школьный автобус».</w:t>
      </w:r>
      <w:r w:rsidRPr="00463D5C">
        <w:rPr>
          <w:color w:val="000000" w:themeColor="text1"/>
        </w:rPr>
        <w:t xml:space="preserve"> </w:t>
      </w: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>На закупку школьных автобусов планируется в 2024 г. выделить 10 млрд. руб. На эти деньги планируется закупить не менее 3000 школьных автобусов (микроавтобусы и автобусы различных классов).</w:t>
      </w:r>
    </w:p>
    <w:p w14:paraId="45F79C6F" w14:textId="4EF2E2DD" w:rsidR="00463D5C" w:rsidRDefault="00463D5C" w:rsidP="00463D5C">
      <w:pPr>
        <w:pStyle w:val="af3"/>
        <w:spacing w:before="240"/>
        <w:ind w:left="0"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В отношении электробусов в 2024 году кроме льготного лизинга действуют пониженные коэффициенты по утилизационному сбору и ряд региональных льгот. </w:t>
      </w:r>
    </w:p>
    <w:p w14:paraId="56F61559" w14:textId="77777777" w:rsidR="00463D5C" w:rsidRPr="00463D5C" w:rsidRDefault="00463D5C" w:rsidP="00463D5C">
      <w:pPr>
        <w:pStyle w:val="af3"/>
        <w:spacing w:before="240"/>
        <w:ind w:left="0"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</w:p>
    <w:p w14:paraId="4739282A" w14:textId="77777777" w:rsidR="00463D5C" w:rsidRPr="00463D5C" w:rsidRDefault="00463D5C" w:rsidP="00463D5C">
      <w:pPr>
        <w:pStyle w:val="af3"/>
        <w:ind w:left="0"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>2.</w:t>
      </w:r>
      <w:r w:rsidRPr="00463D5C">
        <w:rPr>
          <w:rFonts w:ascii="Arial" w:hAnsi="Arial" w:cs="Arial"/>
          <w:bCs/>
          <w:color w:val="000000" w:themeColor="text1"/>
          <w:sz w:val="20"/>
          <w:szCs w:val="20"/>
        </w:rPr>
        <w:t>Программы закупки автобусов и электробусов в разных регионах.</w:t>
      </w:r>
      <w:r w:rsidRPr="00463D5C">
        <w:rPr>
          <w:color w:val="000000" w:themeColor="text1"/>
        </w:rPr>
        <w:t xml:space="preserve"> </w:t>
      </w: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>В 2024 г. 850 электробусов поступят в парк г. Москвы. До 2030 г. Правительство Москвы планирует закупить еще 3800 электробусов. Другие регионы также планируют закупки электробусов за счет региональных средств в 2024-2025 гг.</w:t>
      </w:r>
    </w:p>
    <w:p w14:paraId="76C6A4ED" w14:textId="224F7FA2" w:rsidR="00463D5C" w:rsidRDefault="00463D5C" w:rsidP="00463D5C">
      <w:pPr>
        <w:pStyle w:val="af3"/>
        <w:ind w:left="0"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>Также регионы будут в 2024-2025 г. закупать автобусы на газомоторном топливе и на традиционных типах топлива.</w:t>
      </w:r>
    </w:p>
    <w:p w14:paraId="5EE02412" w14:textId="77777777" w:rsidR="00463D5C" w:rsidRPr="00463D5C" w:rsidRDefault="00463D5C" w:rsidP="00463D5C">
      <w:pPr>
        <w:pStyle w:val="af3"/>
        <w:ind w:left="0"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</w:p>
    <w:p w14:paraId="3DB217DA" w14:textId="57D4A58C" w:rsidR="00463D5C" w:rsidRDefault="00463D5C" w:rsidP="00463D5C">
      <w:pPr>
        <w:pStyle w:val="af3"/>
        <w:spacing w:before="240"/>
        <w:ind w:left="0"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>3.</w:t>
      </w:r>
      <w:r w:rsidRPr="00463D5C">
        <w:rPr>
          <w:rFonts w:ascii="Arial" w:hAnsi="Arial" w:cs="Arial"/>
          <w:bCs/>
          <w:color w:val="000000" w:themeColor="text1"/>
          <w:sz w:val="20"/>
          <w:szCs w:val="20"/>
        </w:rPr>
        <w:t xml:space="preserve">Стандартные циклы замещения автобусов. </w:t>
      </w: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>В 2024 и 2025 годах будет происходить выбытие из парков</w:t>
      </w:r>
      <w:r w:rsidRPr="00463D5C">
        <w:rPr>
          <w:rFonts w:ascii="Arial" w:hAnsi="Arial" w:cs="Arial"/>
          <w:b w:val="0"/>
          <w:color w:val="00B050"/>
          <w:sz w:val="20"/>
          <w:szCs w:val="20"/>
        </w:rPr>
        <w:t xml:space="preserve"> </w:t>
      </w: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>автобусных перевозчиков, корпоративных владельцев</w:t>
      </w:r>
      <w:r w:rsidRPr="00463D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старой, изношенной и аварийной техники и замещение ее на новую технику. </w:t>
      </w:r>
    </w:p>
    <w:p w14:paraId="13DFD1FD" w14:textId="77777777" w:rsidR="00463D5C" w:rsidRPr="00463D5C" w:rsidRDefault="00463D5C" w:rsidP="00463D5C">
      <w:pPr>
        <w:pStyle w:val="af3"/>
        <w:spacing w:before="240"/>
        <w:ind w:left="0" w:firstLine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449D47E" w14:textId="77777777" w:rsidR="00463D5C" w:rsidRPr="00463D5C" w:rsidRDefault="00463D5C" w:rsidP="00463D5C">
      <w:pPr>
        <w:pStyle w:val="af3"/>
        <w:ind w:left="0"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>4.</w:t>
      </w:r>
      <w:r w:rsidRPr="00463D5C">
        <w:rPr>
          <w:rFonts w:ascii="Arial" w:hAnsi="Arial" w:cs="Arial"/>
          <w:bCs/>
          <w:color w:val="000000" w:themeColor="text1"/>
          <w:sz w:val="20"/>
          <w:szCs w:val="20"/>
        </w:rPr>
        <w:t>Негативные потребительские ожидания.</w:t>
      </w: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В ожидании роста цен на автобусы, возможного роста процентных ставок по кредиту и лизингу, возможного обесценивания рубля часть перевозчиков, корпоративных владельцев будет покупать автобусы в текущий момент времени, чтобы не переплачивать за них в будущем. Однако, на фоне высокой общей инфляции, не у всех компаний будут финансовые возможности для обновления и расширения автобусного парка. </w:t>
      </w:r>
    </w:p>
    <w:p w14:paraId="4F69DEDB" w14:textId="77777777" w:rsidR="00463D5C" w:rsidRPr="00463D5C" w:rsidRDefault="00463D5C" w:rsidP="00463D5C">
      <w:pPr>
        <w:pStyle w:val="af3"/>
        <w:spacing w:after="0"/>
        <w:ind w:left="0"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>Такое поведение части потребителей сохранится во 2 полугодии 2024 и в 2025 году и будет продолжаться до стабилизации ситуации с ценами, с кредитными и лизинговыми ставками, с инфляцией на автомобильном рынке.</w:t>
      </w:r>
    </w:p>
    <w:p w14:paraId="2B9765C8" w14:textId="7F6C5159" w:rsidR="00463D5C" w:rsidRDefault="00463D5C" w:rsidP="00463D5C">
      <w:pPr>
        <w:spacing w:before="240" w:after="0"/>
        <w:ind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BB1C9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Согласно всем сценариям прогноза на российском рынке автобусов в 2024–2025 годах будут преобладать российские и китайские бренды. </w:t>
      </w:r>
    </w:p>
    <w:p w14:paraId="6A28648C" w14:textId="77777777" w:rsidR="00463D5C" w:rsidRPr="00833141" w:rsidRDefault="00463D5C" w:rsidP="00463D5C">
      <w:pPr>
        <w:spacing w:before="240" w:after="0"/>
        <w:ind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833141">
        <w:rPr>
          <w:rFonts w:ascii="Arial" w:hAnsi="Arial" w:cs="Arial"/>
          <w:bCs/>
          <w:color w:val="000000" w:themeColor="text1"/>
          <w:sz w:val="20"/>
          <w:szCs w:val="20"/>
        </w:rPr>
        <w:t>Базовый сценарий прогноза</w:t>
      </w:r>
      <w:r w:rsidRPr="00833141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предполагает:</w:t>
      </w:r>
    </w:p>
    <w:p w14:paraId="2AA64639" w14:textId="77777777" w:rsidR="00463D5C" w:rsidRPr="00833141" w:rsidRDefault="00463D5C" w:rsidP="00463D5C">
      <w:pPr>
        <w:spacing w:after="0"/>
        <w:ind w:firstLine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33141">
        <w:rPr>
          <w:rFonts w:ascii="Arial" w:hAnsi="Arial" w:cs="Arial"/>
          <w:bCs/>
          <w:color w:val="000000" w:themeColor="text1"/>
          <w:sz w:val="20"/>
          <w:szCs w:val="20"/>
        </w:rPr>
        <w:t xml:space="preserve">2024 г. </w:t>
      </w:r>
    </w:p>
    <w:p w14:paraId="47E0B9BF" w14:textId="77777777" w:rsidR="00463D5C" w:rsidRPr="00833141" w:rsidRDefault="00463D5C" w:rsidP="00463D5C">
      <w:pPr>
        <w:ind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833141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- ключевая ставка ЦБ РФ может быть увеличена с 18% еще на 1–2 процентных пункта в 2024 г.</w:t>
      </w:r>
      <w:r w:rsidRPr="00833141">
        <w:rPr>
          <w:rStyle w:val="afe"/>
          <w:rFonts w:ascii="Arial" w:hAnsi="Arial" w:cs="Arial"/>
          <w:b w:val="0"/>
          <w:color w:val="000000" w:themeColor="text1"/>
          <w:sz w:val="20"/>
          <w:szCs w:val="20"/>
        </w:rPr>
        <w:footnoteReference w:id="2"/>
      </w:r>
      <w:r w:rsidRPr="00833141">
        <w:rPr>
          <w:rFonts w:ascii="Arial" w:hAnsi="Arial" w:cs="Arial"/>
          <w:b w:val="0"/>
          <w:color w:val="000000" w:themeColor="text1"/>
          <w:sz w:val="20"/>
          <w:szCs w:val="20"/>
        </w:rPr>
        <w:t>, что приведет к дальнейшему удорожанию кредита и лизинга,</w:t>
      </w:r>
    </w:p>
    <w:p w14:paraId="1342A157" w14:textId="77777777" w:rsidR="00463D5C" w:rsidRPr="00833141" w:rsidRDefault="00463D5C" w:rsidP="00463D5C">
      <w:pPr>
        <w:ind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833141">
        <w:rPr>
          <w:rFonts w:ascii="Arial" w:hAnsi="Arial" w:cs="Arial"/>
          <w:b w:val="0"/>
          <w:color w:val="000000" w:themeColor="text1"/>
          <w:sz w:val="20"/>
          <w:szCs w:val="20"/>
        </w:rPr>
        <w:t>- дополнительное финансирование на государственные программы льготного лизинга во втором полугодии 2024 г. выделяться не будет,</w:t>
      </w:r>
    </w:p>
    <w:p w14:paraId="7E344EFC" w14:textId="77777777" w:rsidR="00463D5C" w:rsidRPr="00833141" w:rsidRDefault="00463D5C" w:rsidP="00463D5C">
      <w:pPr>
        <w:ind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833141">
        <w:rPr>
          <w:rFonts w:ascii="Arial" w:hAnsi="Arial" w:cs="Arial"/>
          <w:b w:val="0"/>
          <w:color w:val="000000" w:themeColor="text1"/>
          <w:sz w:val="20"/>
          <w:szCs w:val="20"/>
        </w:rPr>
        <w:t>- макроэкономическая ситуация в стране останется непростой. ВВП за 2024 г. может вырасти на 2,5% по сравнению с уровнем 2023 г., инфляция составит 6,5%.</w:t>
      </w:r>
    </w:p>
    <w:p w14:paraId="37C70538" w14:textId="77777777" w:rsidR="00463D5C" w:rsidRPr="00833141" w:rsidRDefault="00463D5C" w:rsidP="00463D5C">
      <w:pPr>
        <w:ind w:firstLine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33141">
        <w:rPr>
          <w:rFonts w:ascii="Arial" w:hAnsi="Arial" w:cs="Arial"/>
          <w:bCs/>
          <w:color w:val="000000" w:themeColor="text1"/>
          <w:sz w:val="20"/>
          <w:szCs w:val="20"/>
        </w:rPr>
        <w:t xml:space="preserve">2025 г. </w:t>
      </w:r>
    </w:p>
    <w:p w14:paraId="69200FEE" w14:textId="77777777" w:rsidR="00463D5C" w:rsidRPr="00833141" w:rsidRDefault="00463D5C" w:rsidP="00463D5C">
      <w:pPr>
        <w:ind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833141">
        <w:rPr>
          <w:rFonts w:ascii="Arial" w:hAnsi="Arial" w:cs="Arial"/>
          <w:b w:val="0"/>
          <w:color w:val="000000" w:themeColor="text1"/>
          <w:sz w:val="20"/>
          <w:szCs w:val="20"/>
        </w:rPr>
        <w:t>- ключевая ставка ЦБ РФ в 2025 г. останется на уровне 3-4 квартала 2024 г., кредит и лизинг транспортных средств останется дорогим,</w:t>
      </w:r>
    </w:p>
    <w:p w14:paraId="0E100E75" w14:textId="77777777" w:rsidR="00463D5C" w:rsidRPr="00463D5C" w:rsidRDefault="00463D5C" w:rsidP="00463D5C">
      <w:pPr>
        <w:pStyle w:val="af3"/>
        <w:ind w:left="0"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>- макроэкономическая ситуация в стране останется непростой. ВВП за 2025 г. может вырасти на 1,6% по сравнению с уровнем 2024 г., инфляция составит 5,2%.</w:t>
      </w:r>
    </w:p>
    <w:p w14:paraId="19074EAF" w14:textId="77777777" w:rsidR="00463D5C" w:rsidRPr="00833141" w:rsidRDefault="00463D5C" w:rsidP="00463D5C">
      <w:pPr>
        <w:spacing w:before="240" w:after="0"/>
        <w:ind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833141">
        <w:rPr>
          <w:rFonts w:ascii="Arial" w:hAnsi="Arial" w:cs="Arial"/>
          <w:bCs/>
          <w:color w:val="000000" w:themeColor="text1"/>
          <w:sz w:val="20"/>
          <w:szCs w:val="20"/>
        </w:rPr>
        <w:t>Оптимистичный сценарий прогноза</w:t>
      </w:r>
      <w:r w:rsidRPr="00833141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предполагает:</w:t>
      </w:r>
    </w:p>
    <w:p w14:paraId="4862618C" w14:textId="77777777" w:rsidR="00463D5C" w:rsidRPr="00833141" w:rsidRDefault="00463D5C" w:rsidP="00463D5C">
      <w:pPr>
        <w:spacing w:after="0"/>
        <w:ind w:firstLine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33141">
        <w:rPr>
          <w:rFonts w:ascii="Arial" w:hAnsi="Arial" w:cs="Arial"/>
          <w:bCs/>
          <w:color w:val="000000" w:themeColor="text1"/>
          <w:sz w:val="20"/>
          <w:szCs w:val="20"/>
        </w:rPr>
        <w:t>2024 г.</w:t>
      </w:r>
    </w:p>
    <w:p w14:paraId="014506C3" w14:textId="77777777" w:rsidR="00463D5C" w:rsidRPr="00833141" w:rsidRDefault="00463D5C" w:rsidP="00463D5C">
      <w:pPr>
        <w:ind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833141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- ключевая ставка ЦБ РФ во втором полугодии 2024 г. останется на уровне 18% и дополнительного удорожания кредита и лизинга не произойдет,</w:t>
      </w:r>
    </w:p>
    <w:p w14:paraId="50212495" w14:textId="77777777" w:rsidR="00463D5C" w:rsidRPr="00833141" w:rsidRDefault="00463D5C" w:rsidP="00463D5C">
      <w:pPr>
        <w:ind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833141">
        <w:rPr>
          <w:rFonts w:ascii="Arial" w:hAnsi="Arial" w:cs="Arial"/>
          <w:b w:val="0"/>
          <w:color w:val="000000" w:themeColor="text1"/>
          <w:sz w:val="20"/>
          <w:szCs w:val="20"/>
        </w:rPr>
        <w:t>- возможно будет выделено дополнительное финансирование на программы льготного лизинга во втором полугодии 2024 г.</w:t>
      </w:r>
    </w:p>
    <w:p w14:paraId="22853562" w14:textId="77777777" w:rsidR="00463D5C" w:rsidRPr="00833141" w:rsidRDefault="00463D5C" w:rsidP="00463D5C">
      <w:pPr>
        <w:ind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833141">
        <w:rPr>
          <w:rFonts w:ascii="Arial" w:hAnsi="Arial" w:cs="Arial"/>
          <w:b w:val="0"/>
          <w:color w:val="000000" w:themeColor="text1"/>
          <w:sz w:val="20"/>
          <w:szCs w:val="20"/>
        </w:rPr>
        <w:t>- макроэкономическая ситуация в стране останется непростой. ВВП за 2024 г. может вырасти на 2,7% по сравнению с уровнем 2023 г., инфляция составит 6,0%.</w:t>
      </w:r>
    </w:p>
    <w:p w14:paraId="6B5DB9F4" w14:textId="0C95584E" w:rsidR="00463D5C" w:rsidRPr="00833141" w:rsidRDefault="00463D5C" w:rsidP="00463D5C">
      <w:pPr>
        <w:ind w:firstLine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33141">
        <w:rPr>
          <w:rFonts w:ascii="Arial" w:hAnsi="Arial" w:cs="Arial"/>
          <w:bCs/>
          <w:color w:val="000000" w:themeColor="text1"/>
          <w:sz w:val="20"/>
          <w:szCs w:val="20"/>
        </w:rPr>
        <w:t xml:space="preserve">2025 г. </w:t>
      </w:r>
    </w:p>
    <w:p w14:paraId="05B3BF2E" w14:textId="77777777" w:rsidR="00463D5C" w:rsidRPr="00833141" w:rsidRDefault="00463D5C" w:rsidP="00463D5C">
      <w:pPr>
        <w:ind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833141">
        <w:rPr>
          <w:rFonts w:ascii="Arial" w:hAnsi="Arial" w:cs="Arial"/>
          <w:b w:val="0"/>
          <w:color w:val="000000" w:themeColor="text1"/>
          <w:sz w:val="20"/>
          <w:szCs w:val="20"/>
        </w:rPr>
        <w:t>- ключевая ставка ЦБ РФ может снизиться на несколько процентных пунктов в 2025 г., кредит и лизинг транспортных средств станет доступнее,</w:t>
      </w:r>
    </w:p>
    <w:p w14:paraId="5BB9ECCD" w14:textId="77777777" w:rsidR="00463D5C" w:rsidRPr="00833141" w:rsidRDefault="00463D5C" w:rsidP="00463D5C">
      <w:pPr>
        <w:ind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833141">
        <w:rPr>
          <w:rFonts w:ascii="Arial" w:hAnsi="Arial" w:cs="Arial"/>
          <w:b w:val="0"/>
          <w:color w:val="000000" w:themeColor="text1"/>
          <w:sz w:val="20"/>
          <w:szCs w:val="20"/>
        </w:rPr>
        <w:t>-</w:t>
      </w:r>
      <w:r w:rsidRPr="00833141">
        <w:rPr>
          <w:rFonts w:ascii="Arial" w:eastAsia="Calibri" w:hAnsi="Arial" w:cs="Arial"/>
          <w:b w:val="0"/>
          <w:color w:val="000000" w:themeColor="text1"/>
          <w:sz w:val="20"/>
          <w:szCs w:val="20"/>
        </w:rPr>
        <w:t xml:space="preserve"> </w:t>
      </w:r>
      <w:r w:rsidRPr="00833141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макроэкономическая ситуация в стране останется непростой. ВВП за 2025 г. может вырасти на 1,8% по сравнению с уровнем 2024 г., инфляция составит 4,2%. </w:t>
      </w:r>
    </w:p>
    <w:p w14:paraId="06BE4AF2" w14:textId="77777777" w:rsidR="00463D5C" w:rsidRPr="00833141" w:rsidRDefault="00463D5C" w:rsidP="00463D5C">
      <w:pPr>
        <w:spacing w:before="240" w:after="0"/>
        <w:ind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833141">
        <w:rPr>
          <w:rFonts w:ascii="Arial" w:hAnsi="Arial" w:cs="Arial"/>
          <w:bCs/>
          <w:color w:val="000000" w:themeColor="text1"/>
          <w:sz w:val="20"/>
          <w:szCs w:val="20"/>
        </w:rPr>
        <w:t>Пессимистичный сценарий прогноза</w:t>
      </w:r>
      <w:r w:rsidRPr="00833141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предполагает:</w:t>
      </w:r>
    </w:p>
    <w:p w14:paraId="4D4DCA8E" w14:textId="77777777" w:rsidR="00463D5C" w:rsidRPr="00833141" w:rsidRDefault="00463D5C" w:rsidP="00463D5C">
      <w:pPr>
        <w:spacing w:after="0"/>
        <w:ind w:firstLine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33141">
        <w:rPr>
          <w:rFonts w:ascii="Arial" w:hAnsi="Arial" w:cs="Arial"/>
          <w:bCs/>
          <w:color w:val="000000" w:themeColor="text1"/>
          <w:sz w:val="20"/>
          <w:szCs w:val="20"/>
        </w:rPr>
        <w:t>2024 г.</w:t>
      </w:r>
    </w:p>
    <w:p w14:paraId="3C607C9B" w14:textId="77777777" w:rsidR="00463D5C" w:rsidRPr="00833141" w:rsidRDefault="00463D5C" w:rsidP="00463D5C">
      <w:pPr>
        <w:ind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833141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- ключевая ставка ЦБ РФ может быть увеличена более чем на 2 процентных пункта в 2024 г., что приведет к дальнейшему удорожанию кредита и лизинга транспортных средств,</w:t>
      </w:r>
    </w:p>
    <w:p w14:paraId="5C992A09" w14:textId="77777777" w:rsidR="00463D5C" w:rsidRPr="00833141" w:rsidRDefault="00463D5C" w:rsidP="00463D5C">
      <w:pPr>
        <w:ind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833141">
        <w:rPr>
          <w:rFonts w:ascii="Arial" w:hAnsi="Arial" w:cs="Arial"/>
          <w:b w:val="0"/>
          <w:color w:val="000000" w:themeColor="text1"/>
          <w:sz w:val="20"/>
          <w:szCs w:val="20"/>
        </w:rPr>
        <w:t>- дополнительное финансирование на государственные программы льготного лизинга во втором полугодии 2024 г. выделяться не будет,</w:t>
      </w:r>
    </w:p>
    <w:p w14:paraId="7AEE9267" w14:textId="77777777" w:rsidR="00463D5C" w:rsidRPr="00833141" w:rsidRDefault="00463D5C" w:rsidP="00463D5C">
      <w:pPr>
        <w:ind w:firstLine="284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833141">
        <w:rPr>
          <w:rFonts w:ascii="Arial" w:hAnsi="Arial" w:cs="Arial"/>
          <w:b w:val="0"/>
          <w:color w:val="000000" w:themeColor="text1"/>
          <w:sz w:val="20"/>
          <w:szCs w:val="20"/>
        </w:rPr>
        <w:t>- макроэкономическая ситуация в стране останется непростой. ВВП за 2024 г. может вырасти на 2,0% по сравнению с уровнем 2023 г., инфляция составит 7,0%.</w:t>
      </w:r>
    </w:p>
    <w:p w14:paraId="2D737247" w14:textId="77777777" w:rsidR="00463D5C" w:rsidRPr="00833141" w:rsidRDefault="00463D5C" w:rsidP="00463D5C">
      <w:pPr>
        <w:ind w:firstLine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33141">
        <w:rPr>
          <w:rFonts w:ascii="Arial" w:hAnsi="Arial" w:cs="Arial"/>
          <w:bCs/>
          <w:color w:val="000000" w:themeColor="text1"/>
          <w:sz w:val="20"/>
          <w:szCs w:val="20"/>
        </w:rPr>
        <w:t xml:space="preserve">2025 г. </w:t>
      </w:r>
    </w:p>
    <w:p w14:paraId="40F3E72F" w14:textId="77777777" w:rsidR="00463D5C" w:rsidRPr="00833141" w:rsidRDefault="00463D5C" w:rsidP="00463D5C">
      <w:pPr>
        <w:ind w:firstLine="284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833141">
        <w:rPr>
          <w:rFonts w:ascii="Arial" w:hAnsi="Arial" w:cs="Arial"/>
          <w:b w:val="0"/>
          <w:color w:val="000000" w:themeColor="text1"/>
          <w:sz w:val="20"/>
          <w:szCs w:val="20"/>
        </w:rPr>
        <w:t>- ключевая ставка ЦБ РФ продолжит расти в 2025 г., следовательно процентные ставки по кредиту и лизингу будут расти,</w:t>
      </w:r>
    </w:p>
    <w:p w14:paraId="67F8C44C" w14:textId="77777777" w:rsidR="00463D5C" w:rsidRPr="00463D5C" w:rsidRDefault="00463D5C" w:rsidP="00463D5C">
      <w:pPr>
        <w:pStyle w:val="af3"/>
        <w:spacing w:after="0"/>
        <w:ind w:left="0" w:firstLine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63D5C">
        <w:rPr>
          <w:rFonts w:ascii="Arial" w:hAnsi="Arial" w:cs="Arial"/>
          <w:b w:val="0"/>
          <w:color w:val="000000" w:themeColor="text1"/>
          <w:sz w:val="20"/>
          <w:szCs w:val="20"/>
        </w:rPr>
        <w:t>- макроэкономическая ситуация в стране останется непростой. ВВП за 2025 г. может вырасти на 1,4% по сравнению с уровнем 2024 г., инфляция составит 6,2%.</w:t>
      </w:r>
    </w:p>
    <w:p w14:paraId="4D8F89BA" w14:textId="77777777" w:rsidR="00463D5C" w:rsidRPr="00DA7783" w:rsidRDefault="00463D5C" w:rsidP="00463D5C">
      <w:pPr>
        <w:spacing w:before="360" w:after="120" w:line="240" w:lineRule="auto"/>
        <w:ind w:right="142"/>
        <w:jc w:val="center"/>
        <w:rPr>
          <w:rFonts w:ascii="Arial" w:eastAsia="Calibri" w:hAnsi="Arial" w:cs="Calibri"/>
          <w:bCs/>
          <w:color w:val="auto"/>
          <w:sz w:val="20"/>
        </w:rPr>
      </w:pPr>
      <w:r w:rsidRPr="00DA7783">
        <w:rPr>
          <w:rFonts w:ascii="Arial" w:eastAsia="Calibri" w:hAnsi="Arial" w:cs="Calibri"/>
          <w:bCs/>
          <w:color w:val="auto"/>
          <w:sz w:val="20"/>
        </w:rPr>
        <w:t xml:space="preserve">Прогноз продаж новых </w:t>
      </w:r>
      <w:bookmarkStart w:id="1" w:name="_Hlk172822273"/>
      <w:r>
        <w:rPr>
          <w:rFonts w:ascii="Arial" w:eastAsia="Calibri" w:hAnsi="Arial" w:cs="Calibri"/>
          <w:bCs/>
          <w:color w:val="auto"/>
          <w:sz w:val="20"/>
        </w:rPr>
        <w:t>автобусов</w:t>
      </w:r>
      <w:bookmarkEnd w:id="1"/>
      <w:r>
        <w:rPr>
          <w:rFonts w:ascii="Arial" w:eastAsia="Calibri" w:hAnsi="Arial" w:cs="Calibri"/>
          <w:bCs/>
          <w:color w:val="auto"/>
          <w:sz w:val="20"/>
        </w:rPr>
        <w:t xml:space="preserve"> </w:t>
      </w:r>
      <w:r w:rsidRPr="00DA7783">
        <w:rPr>
          <w:rFonts w:ascii="Arial" w:eastAsia="Calibri" w:hAnsi="Arial" w:cs="Calibri"/>
          <w:bCs/>
          <w:color w:val="auto"/>
          <w:sz w:val="20"/>
        </w:rPr>
        <w:t>в 2024–2025 гг.</w:t>
      </w:r>
    </w:p>
    <w:tbl>
      <w:tblPr>
        <w:tblStyle w:val="27"/>
        <w:tblW w:w="5001" w:type="pct"/>
        <w:tblInd w:w="-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80"/>
        <w:gridCol w:w="1896"/>
        <w:gridCol w:w="1896"/>
        <w:gridCol w:w="1896"/>
        <w:gridCol w:w="1894"/>
      </w:tblGrid>
      <w:tr w:rsidR="00463D5C" w:rsidRPr="001D7A47" w14:paraId="26079E65" w14:textId="77777777" w:rsidTr="00E250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6A3708D" w14:textId="77777777" w:rsidR="00463D5C" w:rsidRPr="001D7A47" w:rsidRDefault="00463D5C" w:rsidP="00E250BA">
            <w:pPr>
              <w:autoSpaceDE w:val="0"/>
              <w:autoSpaceDN w:val="0"/>
              <w:adjustRightInd w:val="0"/>
              <w:ind w:left="-113" w:right="-104"/>
              <w:contextualSpacing/>
              <w:rPr>
                <w:rFonts w:eastAsia="Arial"/>
                <w:b/>
                <w:color w:val="FFFFFF"/>
                <w:sz w:val="16"/>
                <w:szCs w:val="16"/>
              </w:rPr>
            </w:pPr>
            <w:r w:rsidRPr="001D7A47">
              <w:rPr>
                <w:rFonts w:eastAsia="Arial"/>
                <w:b/>
                <w:color w:val="FFFFFF"/>
                <w:sz w:val="16"/>
                <w:szCs w:val="16"/>
              </w:rPr>
              <w:t xml:space="preserve">Прогноз продаж, </w:t>
            </w:r>
            <w:r>
              <w:rPr>
                <w:rFonts w:eastAsia="Arial"/>
                <w:b/>
                <w:color w:val="FFFFFF"/>
                <w:sz w:val="16"/>
                <w:szCs w:val="16"/>
              </w:rPr>
              <w:br/>
            </w:r>
            <w:r w:rsidRPr="001D7A47">
              <w:rPr>
                <w:rFonts w:eastAsia="Arial"/>
                <w:b/>
                <w:color w:val="FFFFFF"/>
                <w:sz w:val="16"/>
                <w:szCs w:val="16"/>
              </w:rPr>
              <w:t>сценарий</w:t>
            </w:r>
          </w:p>
        </w:tc>
        <w:tc>
          <w:tcPr>
            <w:tcW w:w="94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7218BBF" w14:textId="77777777" w:rsidR="00463D5C" w:rsidRPr="001D7A47" w:rsidRDefault="00463D5C" w:rsidP="00463D5C">
            <w:pPr>
              <w:autoSpaceDE w:val="0"/>
              <w:autoSpaceDN w:val="0"/>
              <w:adjustRightInd w:val="0"/>
              <w:ind w:left="18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color w:val="FFFFFF"/>
                <w:sz w:val="16"/>
                <w:szCs w:val="16"/>
              </w:rPr>
            </w:pPr>
            <w:r w:rsidRPr="001D7A47">
              <w:rPr>
                <w:rFonts w:eastAsia="Arial"/>
                <w:b/>
                <w:color w:val="FFFFFF"/>
                <w:sz w:val="16"/>
                <w:szCs w:val="16"/>
              </w:rPr>
              <w:t xml:space="preserve">Прогноз продаж </w:t>
            </w:r>
            <w:r w:rsidRPr="00D80EA3">
              <w:rPr>
                <w:rFonts w:eastAsia="Arial"/>
                <w:b/>
                <w:color w:val="FFFFFF"/>
                <w:sz w:val="16"/>
                <w:szCs w:val="16"/>
              </w:rPr>
              <w:t>автобусов</w:t>
            </w:r>
            <w:r w:rsidRPr="0083493F">
              <w:rPr>
                <w:rFonts w:eastAsia="Arial"/>
                <w:b/>
                <w:color w:val="FFFFFF"/>
                <w:sz w:val="16"/>
                <w:szCs w:val="16"/>
              </w:rPr>
              <w:t xml:space="preserve"> </w:t>
            </w:r>
            <w:r w:rsidRPr="001D7A47">
              <w:rPr>
                <w:rFonts w:eastAsia="Arial"/>
                <w:b/>
                <w:color w:val="FFFFFF"/>
                <w:sz w:val="16"/>
                <w:szCs w:val="16"/>
              </w:rPr>
              <w:t xml:space="preserve">в 2024 г., </w:t>
            </w:r>
            <w:r>
              <w:rPr>
                <w:rFonts w:eastAsia="Arial"/>
                <w:b/>
                <w:color w:val="FFFFFF"/>
                <w:sz w:val="16"/>
                <w:szCs w:val="16"/>
              </w:rPr>
              <w:t xml:space="preserve">тыс. </w:t>
            </w:r>
            <w:r w:rsidRPr="001D7A47">
              <w:rPr>
                <w:rFonts w:eastAsia="Arial"/>
                <w:b/>
                <w:color w:val="FFFFFF"/>
                <w:sz w:val="16"/>
                <w:szCs w:val="16"/>
              </w:rPr>
              <w:t>шт.</w:t>
            </w:r>
          </w:p>
        </w:tc>
        <w:tc>
          <w:tcPr>
            <w:tcW w:w="94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7CFACC8A" w14:textId="77777777" w:rsidR="00463D5C" w:rsidRPr="001D7A47" w:rsidRDefault="00463D5C" w:rsidP="00463D5C">
            <w:pPr>
              <w:autoSpaceDE w:val="0"/>
              <w:autoSpaceDN w:val="0"/>
              <w:adjustRightInd w:val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color w:val="FFFFFF"/>
                <w:sz w:val="16"/>
                <w:szCs w:val="16"/>
              </w:rPr>
            </w:pPr>
            <w:r w:rsidRPr="001D7A47">
              <w:rPr>
                <w:rFonts w:eastAsia="Arial"/>
                <w:b/>
                <w:color w:val="FFFFFF"/>
                <w:sz w:val="16"/>
                <w:szCs w:val="16"/>
              </w:rPr>
              <w:t xml:space="preserve">Прирост/ убыль, </w:t>
            </w:r>
            <w:r w:rsidRPr="001D7A47">
              <w:rPr>
                <w:rFonts w:eastAsia="Arial"/>
                <w:b/>
                <w:color w:val="FFFFFF"/>
                <w:sz w:val="16"/>
                <w:szCs w:val="16"/>
                <w:lang w:val="en-US"/>
              </w:rPr>
              <w:t xml:space="preserve">2024/2023, </w:t>
            </w:r>
            <w:r>
              <w:rPr>
                <w:rFonts w:eastAsia="Arial"/>
                <w:b/>
                <w:color w:val="FFFFFF"/>
                <w:sz w:val="16"/>
                <w:szCs w:val="16"/>
                <w:lang w:val="en-US"/>
              </w:rPr>
              <w:br/>
            </w:r>
            <w:r w:rsidRPr="001D7A47">
              <w:rPr>
                <w:rFonts w:eastAsia="Arial"/>
                <w:b/>
                <w:color w:val="FFFFFF"/>
                <w:sz w:val="16"/>
                <w:szCs w:val="16"/>
              </w:rPr>
              <w:t>%</w:t>
            </w:r>
          </w:p>
        </w:tc>
        <w:tc>
          <w:tcPr>
            <w:tcW w:w="942" w:type="pct"/>
            <w:tcBorders>
              <w:top w:val="single" w:sz="4" w:space="0" w:color="FFFFFF"/>
              <w:left w:val="single" w:sz="4" w:space="0" w:color="FFFFFF"/>
              <w:right w:val="nil"/>
            </w:tcBorders>
            <w:vAlign w:val="center"/>
          </w:tcPr>
          <w:p w14:paraId="3C85C624" w14:textId="77777777" w:rsidR="00463D5C" w:rsidRPr="00BE6ECE" w:rsidRDefault="00463D5C" w:rsidP="00463D5C">
            <w:pPr>
              <w:autoSpaceDE w:val="0"/>
              <w:autoSpaceDN w:val="0"/>
              <w:adjustRightInd w:val="0"/>
              <w:ind w:left="50" w:right="35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color w:val="FFFFFF"/>
                <w:sz w:val="16"/>
                <w:szCs w:val="16"/>
              </w:rPr>
            </w:pPr>
            <w:r w:rsidRPr="001D7A47">
              <w:rPr>
                <w:rFonts w:eastAsia="Arial"/>
                <w:b/>
                <w:color w:val="FFFFFF"/>
                <w:sz w:val="16"/>
                <w:szCs w:val="16"/>
              </w:rPr>
              <w:t xml:space="preserve">Прогноз продаж </w:t>
            </w:r>
            <w:r w:rsidRPr="00D80EA3">
              <w:rPr>
                <w:rFonts w:eastAsia="Arial"/>
                <w:b/>
                <w:color w:val="FFFFFF"/>
                <w:sz w:val="16"/>
                <w:szCs w:val="16"/>
              </w:rPr>
              <w:t>автобусов</w:t>
            </w:r>
            <w:r w:rsidRPr="001D7A47">
              <w:rPr>
                <w:rFonts w:eastAsia="Arial"/>
                <w:b/>
                <w:color w:val="FFFFFF"/>
                <w:sz w:val="16"/>
                <w:szCs w:val="16"/>
              </w:rPr>
              <w:t xml:space="preserve"> в 202</w:t>
            </w:r>
            <w:r>
              <w:rPr>
                <w:rFonts w:eastAsia="Arial"/>
                <w:b/>
                <w:color w:val="FFFFFF"/>
                <w:sz w:val="16"/>
                <w:szCs w:val="16"/>
              </w:rPr>
              <w:t>5</w:t>
            </w:r>
            <w:r w:rsidRPr="001D7A47">
              <w:rPr>
                <w:rFonts w:eastAsia="Arial"/>
                <w:b/>
                <w:color w:val="FFFFFF"/>
                <w:sz w:val="16"/>
                <w:szCs w:val="16"/>
              </w:rPr>
              <w:t xml:space="preserve"> г., </w:t>
            </w:r>
            <w:r>
              <w:rPr>
                <w:rFonts w:eastAsia="Arial"/>
                <w:b/>
                <w:color w:val="FFFFFF"/>
                <w:sz w:val="16"/>
                <w:szCs w:val="16"/>
              </w:rPr>
              <w:br/>
              <w:t xml:space="preserve">тыс. </w:t>
            </w:r>
            <w:r w:rsidRPr="001D7A47">
              <w:rPr>
                <w:rFonts w:eastAsia="Arial"/>
                <w:b/>
                <w:color w:val="FFFFFF"/>
                <w:sz w:val="16"/>
                <w:szCs w:val="16"/>
              </w:rPr>
              <w:t>шт.</w:t>
            </w:r>
          </w:p>
        </w:tc>
        <w:tc>
          <w:tcPr>
            <w:tcW w:w="942" w:type="pct"/>
            <w:tcBorders>
              <w:top w:val="single" w:sz="4" w:space="0" w:color="FFFFFF"/>
              <w:left w:val="single" w:sz="4" w:space="0" w:color="FFFFFF"/>
              <w:right w:val="nil"/>
            </w:tcBorders>
            <w:vAlign w:val="center"/>
          </w:tcPr>
          <w:p w14:paraId="730F1E3A" w14:textId="77777777" w:rsidR="00463D5C" w:rsidRPr="00BE6ECE" w:rsidRDefault="00463D5C" w:rsidP="00463D5C">
            <w:pPr>
              <w:autoSpaceDE w:val="0"/>
              <w:autoSpaceDN w:val="0"/>
              <w:adjustRightInd w:val="0"/>
              <w:ind w:left="-12" w:right="82" w:firstLine="12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color w:val="FFFFFF"/>
                <w:sz w:val="16"/>
                <w:szCs w:val="16"/>
              </w:rPr>
            </w:pPr>
            <w:r w:rsidRPr="001D7A47">
              <w:rPr>
                <w:rFonts w:eastAsia="Arial"/>
                <w:b/>
                <w:color w:val="FFFFFF"/>
                <w:sz w:val="16"/>
                <w:szCs w:val="16"/>
              </w:rPr>
              <w:t xml:space="preserve">Прирост/ убыль, </w:t>
            </w:r>
            <w:r w:rsidRPr="00BE6ECE">
              <w:rPr>
                <w:rFonts w:eastAsia="Arial"/>
                <w:b/>
                <w:color w:val="FFFFFF"/>
                <w:sz w:val="16"/>
                <w:szCs w:val="16"/>
              </w:rPr>
              <w:t>202</w:t>
            </w:r>
            <w:r>
              <w:rPr>
                <w:rFonts w:eastAsia="Arial"/>
                <w:b/>
                <w:color w:val="FFFFFF"/>
                <w:sz w:val="16"/>
                <w:szCs w:val="16"/>
              </w:rPr>
              <w:t>5</w:t>
            </w:r>
            <w:r w:rsidRPr="00BE6ECE">
              <w:rPr>
                <w:rFonts w:eastAsia="Arial"/>
                <w:b/>
                <w:color w:val="FFFFFF"/>
                <w:sz w:val="16"/>
                <w:szCs w:val="16"/>
              </w:rPr>
              <w:t>/202</w:t>
            </w:r>
            <w:r>
              <w:rPr>
                <w:rFonts w:eastAsia="Arial"/>
                <w:b/>
                <w:color w:val="FFFFFF"/>
                <w:sz w:val="16"/>
                <w:szCs w:val="16"/>
              </w:rPr>
              <w:t>4</w:t>
            </w:r>
            <w:r w:rsidRPr="00BE6ECE">
              <w:rPr>
                <w:rFonts w:eastAsia="Arial"/>
                <w:b/>
                <w:color w:val="FFFFFF"/>
                <w:sz w:val="16"/>
                <w:szCs w:val="16"/>
              </w:rPr>
              <w:t xml:space="preserve">, </w:t>
            </w:r>
            <w:r>
              <w:rPr>
                <w:rFonts w:eastAsia="Arial"/>
                <w:b/>
                <w:color w:val="FFFFFF"/>
                <w:sz w:val="16"/>
                <w:szCs w:val="16"/>
              </w:rPr>
              <w:br/>
            </w:r>
            <w:r w:rsidRPr="001D7A47">
              <w:rPr>
                <w:rFonts w:eastAsia="Arial"/>
                <w:b/>
                <w:color w:val="FFFFFF"/>
                <w:sz w:val="16"/>
                <w:szCs w:val="16"/>
              </w:rPr>
              <w:t>%</w:t>
            </w:r>
          </w:p>
        </w:tc>
      </w:tr>
      <w:tr w:rsidR="00463D5C" w:rsidRPr="001D7A47" w14:paraId="189DEC76" w14:textId="77777777" w:rsidTr="00E2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pct"/>
            <w:tcBorders>
              <w:top w:val="single" w:sz="4" w:space="0" w:color="FFFFFF"/>
              <w:left w:val="single" w:sz="2" w:space="0" w:color="D9E2F3"/>
              <w:bottom w:val="single" w:sz="4" w:space="0" w:color="EBEBF0"/>
              <w:right w:val="single" w:sz="4" w:space="0" w:color="EBEBF0"/>
            </w:tcBorders>
            <w:hideMark/>
          </w:tcPr>
          <w:p w14:paraId="0D543DF8" w14:textId="77777777" w:rsidR="00463D5C" w:rsidRPr="001D7A47" w:rsidRDefault="00463D5C" w:rsidP="00E250BA">
            <w:pPr>
              <w:autoSpaceDE w:val="0"/>
              <w:autoSpaceDN w:val="0"/>
              <w:adjustRightInd w:val="0"/>
              <w:ind w:right="-104" w:firstLine="5"/>
              <w:contextualSpacing/>
              <w:rPr>
                <w:rFonts w:eastAsia="Arial"/>
                <w:color w:val="000000"/>
                <w:sz w:val="16"/>
              </w:rPr>
            </w:pPr>
            <w:r w:rsidRPr="001D7A47">
              <w:rPr>
                <w:rFonts w:eastAsia="Arial"/>
                <w:color w:val="000000"/>
                <w:sz w:val="16"/>
              </w:rPr>
              <w:t>Оптимистичный сценарий</w:t>
            </w:r>
          </w:p>
        </w:tc>
        <w:tc>
          <w:tcPr>
            <w:tcW w:w="942" w:type="pct"/>
            <w:tcBorders>
              <w:top w:val="single" w:sz="4" w:space="0" w:color="FFFFFF"/>
              <w:left w:val="single" w:sz="4" w:space="0" w:color="EBEBF0"/>
              <w:bottom w:val="single" w:sz="4" w:space="0" w:color="EBEBF0"/>
              <w:right w:val="single" w:sz="4" w:space="0" w:color="EBEBF0"/>
            </w:tcBorders>
            <w:vAlign w:val="center"/>
            <w:hideMark/>
          </w:tcPr>
          <w:p w14:paraId="73DA0C30" w14:textId="77777777" w:rsidR="00463D5C" w:rsidRPr="0083493F" w:rsidRDefault="00463D5C" w:rsidP="00E250BA">
            <w:pPr>
              <w:ind w:right="-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1</w:t>
            </w:r>
            <w:r>
              <w:rPr>
                <w:color w:val="000000"/>
                <w:sz w:val="16"/>
              </w:rPr>
              <w:t>8,32</w:t>
            </w:r>
          </w:p>
        </w:tc>
        <w:tc>
          <w:tcPr>
            <w:tcW w:w="942" w:type="pct"/>
            <w:tcBorders>
              <w:top w:val="single" w:sz="4" w:space="0" w:color="FFFFFF"/>
              <w:left w:val="single" w:sz="4" w:space="0" w:color="EBEBF0"/>
              <w:bottom w:val="single" w:sz="4" w:space="0" w:color="EBEBF0"/>
              <w:right w:val="single" w:sz="4" w:space="0" w:color="EBEBF0"/>
            </w:tcBorders>
            <w:vAlign w:val="center"/>
            <w:hideMark/>
          </w:tcPr>
          <w:p w14:paraId="0F127704" w14:textId="77777777" w:rsidR="00463D5C" w:rsidRPr="00D80EA3" w:rsidRDefault="00463D5C" w:rsidP="00E250BA">
            <w:pPr>
              <w:autoSpaceDE w:val="0"/>
              <w:autoSpaceDN w:val="0"/>
              <w:adjustRightInd w:val="0"/>
              <w:ind w:right="-10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16"/>
              </w:rPr>
            </w:pPr>
            <w:r>
              <w:rPr>
                <w:color w:val="00B050"/>
                <w:sz w:val="16"/>
                <w:lang w:val="en-US"/>
              </w:rPr>
              <w:t>1</w:t>
            </w:r>
            <w:r>
              <w:rPr>
                <w:color w:val="00B050"/>
                <w:sz w:val="16"/>
              </w:rPr>
              <w:t>2</w:t>
            </w:r>
            <w:r w:rsidRPr="00271DA0">
              <w:rPr>
                <w:color w:val="00B050"/>
                <w:sz w:val="16"/>
              </w:rPr>
              <w:t>,</w:t>
            </w:r>
            <w:r>
              <w:rPr>
                <w:color w:val="00B050"/>
                <w:sz w:val="16"/>
              </w:rPr>
              <w:t>14</w:t>
            </w:r>
          </w:p>
        </w:tc>
        <w:tc>
          <w:tcPr>
            <w:tcW w:w="942" w:type="pct"/>
            <w:tcBorders>
              <w:top w:val="single" w:sz="4" w:space="0" w:color="FFFFFF"/>
              <w:left w:val="single" w:sz="4" w:space="0" w:color="EBEBF0"/>
              <w:bottom w:val="single" w:sz="4" w:space="0" w:color="EBEBF0"/>
              <w:right w:val="single" w:sz="4" w:space="0" w:color="EBEBF0"/>
            </w:tcBorders>
            <w:vAlign w:val="center"/>
          </w:tcPr>
          <w:p w14:paraId="526C8561" w14:textId="77777777" w:rsidR="00463D5C" w:rsidRPr="00D80EA3" w:rsidRDefault="00463D5C" w:rsidP="00E250BA">
            <w:pPr>
              <w:autoSpaceDE w:val="0"/>
              <w:autoSpaceDN w:val="0"/>
              <w:adjustRightInd w:val="0"/>
              <w:ind w:right="-10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18,71</w:t>
            </w:r>
          </w:p>
        </w:tc>
        <w:tc>
          <w:tcPr>
            <w:tcW w:w="942" w:type="pct"/>
            <w:tcBorders>
              <w:top w:val="single" w:sz="4" w:space="0" w:color="FFFFFF"/>
              <w:left w:val="single" w:sz="4" w:space="0" w:color="EBEBF0"/>
              <w:bottom w:val="single" w:sz="4" w:space="0" w:color="EBEBF0"/>
              <w:right w:val="single" w:sz="4" w:space="0" w:color="EBEBF0"/>
            </w:tcBorders>
            <w:vAlign w:val="center"/>
          </w:tcPr>
          <w:p w14:paraId="2845CB88" w14:textId="77777777" w:rsidR="00463D5C" w:rsidRPr="00D80EA3" w:rsidRDefault="00463D5C" w:rsidP="00E250BA">
            <w:pPr>
              <w:autoSpaceDE w:val="0"/>
              <w:autoSpaceDN w:val="0"/>
              <w:adjustRightInd w:val="0"/>
              <w:ind w:right="-10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16"/>
              </w:rPr>
            </w:pPr>
            <w:r>
              <w:rPr>
                <w:color w:val="00B050"/>
                <w:sz w:val="16"/>
              </w:rPr>
              <w:t>2</w:t>
            </w:r>
            <w:r w:rsidRPr="005F1034">
              <w:rPr>
                <w:color w:val="00B050"/>
                <w:sz w:val="16"/>
              </w:rPr>
              <w:t>,</w:t>
            </w:r>
            <w:r>
              <w:rPr>
                <w:color w:val="00B050"/>
                <w:sz w:val="16"/>
              </w:rPr>
              <w:t>14</w:t>
            </w:r>
          </w:p>
        </w:tc>
      </w:tr>
      <w:tr w:rsidR="00463D5C" w:rsidRPr="001D7A47" w14:paraId="1FF74613" w14:textId="77777777" w:rsidTr="00E25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pct"/>
            <w:tcBorders>
              <w:top w:val="single" w:sz="4" w:space="0" w:color="EBEBF0"/>
              <w:left w:val="single" w:sz="2" w:space="0" w:color="D9E2F3"/>
              <w:bottom w:val="single" w:sz="4" w:space="0" w:color="EBEBF0"/>
              <w:right w:val="single" w:sz="4" w:space="0" w:color="EBEBF0"/>
            </w:tcBorders>
            <w:hideMark/>
          </w:tcPr>
          <w:p w14:paraId="7D852C5A" w14:textId="77777777" w:rsidR="00463D5C" w:rsidRPr="001D7A47" w:rsidRDefault="00463D5C" w:rsidP="00E250BA">
            <w:pPr>
              <w:autoSpaceDE w:val="0"/>
              <w:autoSpaceDN w:val="0"/>
              <w:adjustRightInd w:val="0"/>
              <w:ind w:right="-104" w:firstLine="5"/>
              <w:contextualSpacing/>
              <w:rPr>
                <w:rFonts w:eastAsia="Arial"/>
                <w:color w:val="000000"/>
                <w:sz w:val="16"/>
                <w:szCs w:val="16"/>
              </w:rPr>
            </w:pPr>
            <w:r w:rsidRPr="001D7A47">
              <w:rPr>
                <w:rFonts w:eastAsia="Arial"/>
                <w:color w:val="000000"/>
                <w:sz w:val="16"/>
                <w:szCs w:val="16"/>
              </w:rPr>
              <w:t>Базовый сценарий</w:t>
            </w:r>
          </w:p>
        </w:tc>
        <w:tc>
          <w:tcPr>
            <w:tcW w:w="942" w:type="pct"/>
            <w:tcBorders>
              <w:top w:val="single" w:sz="4" w:space="0" w:color="EBEBF0"/>
              <w:left w:val="single" w:sz="4" w:space="0" w:color="EBEBF0"/>
              <w:bottom w:val="single" w:sz="4" w:space="0" w:color="EBEBF0"/>
              <w:right w:val="single" w:sz="4" w:space="0" w:color="EBEBF0"/>
            </w:tcBorders>
            <w:vAlign w:val="center"/>
            <w:hideMark/>
          </w:tcPr>
          <w:p w14:paraId="79036F74" w14:textId="77777777" w:rsidR="00463D5C" w:rsidRPr="00D80EA3" w:rsidRDefault="00463D5C" w:rsidP="00E250BA">
            <w:pPr>
              <w:ind w:right="-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17,88</w:t>
            </w:r>
          </w:p>
        </w:tc>
        <w:tc>
          <w:tcPr>
            <w:tcW w:w="942" w:type="pct"/>
            <w:tcBorders>
              <w:top w:val="single" w:sz="4" w:space="0" w:color="EBEBF0"/>
              <w:left w:val="single" w:sz="4" w:space="0" w:color="EBEBF0"/>
              <w:bottom w:val="single" w:sz="4" w:space="0" w:color="EBEBF0"/>
              <w:right w:val="single" w:sz="4" w:space="0" w:color="EBEBF0"/>
            </w:tcBorders>
            <w:vAlign w:val="center"/>
            <w:hideMark/>
          </w:tcPr>
          <w:p w14:paraId="13D7B199" w14:textId="77777777" w:rsidR="00463D5C" w:rsidRPr="00D80EA3" w:rsidRDefault="00463D5C" w:rsidP="00E250BA">
            <w:pPr>
              <w:autoSpaceDE w:val="0"/>
              <w:autoSpaceDN w:val="0"/>
              <w:adjustRightInd w:val="0"/>
              <w:ind w:right="-104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9</w:t>
            </w:r>
            <w:r w:rsidRPr="00271DA0">
              <w:rPr>
                <w:color w:val="00B050"/>
                <w:sz w:val="16"/>
                <w:szCs w:val="16"/>
              </w:rPr>
              <w:t>,</w:t>
            </w:r>
            <w:r>
              <w:rPr>
                <w:color w:val="00B050"/>
                <w:sz w:val="16"/>
                <w:szCs w:val="16"/>
              </w:rPr>
              <w:t>43</w:t>
            </w:r>
          </w:p>
        </w:tc>
        <w:tc>
          <w:tcPr>
            <w:tcW w:w="942" w:type="pct"/>
            <w:tcBorders>
              <w:top w:val="single" w:sz="4" w:space="0" w:color="EBEBF0"/>
              <w:left w:val="single" w:sz="4" w:space="0" w:color="EBEBF0"/>
              <w:bottom w:val="single" w:sz="4" w:space="0" w:color="EBEBF0"/>
              <w:right w:val="single" w:sz="4" w:space="0" w:color="EBEBF0"/>
            </w:tcBorders>
            <w:vAlign w:val="center"/>
          </w:tcPr>
          <w:p w14:paraId="54C5092E" w14:textId="77777777" w:rsidR="00463D5C" w:rsidRPr="00D80EA3" w:rsidRDefault="00463D5C" w:rsidP="00E250BA">
            <w:pPr>
              <w:autoSpaceDE w:val="0"/>
              <w:autoSpaceDN w:val="0"/>
              <w:adjustRightInd w:val="0"/>
              <w:ind w:right="-104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EC4BED">
              <w:rPr>
                <w:color w:val="auto"/>
                <w:sz w:val="16"/>
                <w:szCs w:val="16"/>
              </w:rPr>
              <w:t>1</w:t>
            </w:r>
            <w:r>
              <w:rPr>
                <w:color w:val="auto"/>
                <w:sz w:val="16"/>
                <w:szCs w:val="16"/>
              </w:rPr>
              <w:t>7,90</w:t>
            </w:r>
          </w:p>
        </w:tc>
        <w:tc>
          <w:tcPr>
            <w:tcW w:w="942" w:type="pct"/>
            <w:tcBorders>
              <w:top w:val="single" w:sz="4" w:space="0" w:color="EBEBF0"/>
              <w:left w:val="single" w:sz="4" w:space="0" w:color="EBEBF0"/>
              <w:bottom w:val="single" w:sz="4" w:space="0" w:color="EBEBF0"/>
              <w:right w:val="single" w:sz="4" w:space="0" w:color="EBEBF0"/>
            </w:tcBorders>
            <w:vAlign w:val="center"/>
          </w:tcPr>
          <w:p w14:paraId="25FE184F" w14:textId="77777777" w:rsidR="00463D5C" w:rsidRPr="00D80EA3" w:rsidRDefault="00463D5C" w:rsidP="00E250BA">
            <w:pPr>
              <w:autoSpaceDE w:val="0"/>
              <w:autoSpaceDN w:val="0"/>
              <w:adjustRightInd w:val="0"/>
              <w:ind w:right="-104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0</w:t>
            </w:r>
            <w:r w:rsidRPr="005F1034">
              <w:rPr>
                <w:color w:val="00B050"/>
                <w:sz w:val="16"/>
                <w:szCs w:val="16"/>
              </w:rPr>
              <w:t>,</w:t>
            </w:r>
            <w:r>
              <w:rPr>
                <w:color w:val="00B050"/>
                <w:sz w:val="16"/>
                <w:szCs w:val="16"/>
              </w:rPr>
              <w:t>12</w:t>
            </w:r>
          </w:p>
        </w:tc>
      </w:tr>
      <w:tr w:rsidR="00463D5C" w:rsidRPr="001D7A47" w14:paraId="71A166DF" w14:textId="77777777" w:rsidTr="00E2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pct"/>
            <w:tcBorders>
              <w:top w:val="single" w:sz="4" w:space="0" w:color="EBEBF0"/>
              <w:left w:val="single" w:sz="2" w:space="0" w:color="D9E2F3"/>
              <w:bottom w:val="single" w:sz="2" w:space="0" w:color="D9E2F3"/>
              <w:right w:val="single" w:sz="4" w:space="0" w:color="EBEBF0"/>
            </w:tcBorders>
            <w:hideMark/>
          </w:tcPr>
          <w:p w14:paraId="6C48034B" w14:textId="77777777" w:rsidR="00463D5C" w:rsidRPr="001D7A47" w:rsidRDefault="00463D5C" w:rsidP="00E250BA">
            <w:pPr>
              <w:autoSpaceDE w:val="0"/>
              <w:autoSpaceDN w:val="0"/>
              <w:adjustRightInd w:val="0"/>
              <w:ind w:right="-104" w:firstLine="5"/>
              <w:contextualSpacing/>
              <w:rPr>
                <w:rFonts w:eastAsia="Arial"/>
                <w:color w:val="000000"/>
                <w:sz w:val="16"/>
              </w:rPr>
            </w:pPr>
            <w:r w:rsidRPr="001D7A47">
              <w:rPr>
                <w:rFonts w:eastAsia="Arial"/>
                <w:color w:val="000000"/>
                <w:sz w:val="16"/>
              </w:rPr>
              <w:t>Пессимистичный сценарий</w:t>
            </w:r>
          </w:p>
        </w:tc>
        <w:tc>
          <w:tcPr>
            <w:tcW w:w="942" w:type="pct"/>
            <w:tcBorders>
              <w:top w:val="single" w:sz="4" w:space="0" w:color="EBEBF0"/>
              <w:left w:val="single" w:sz="4" w:space="0" w:color="EBEBF0"/>
              <w:bottom w:val="single" w:sz="2" w:space="0" w:color="D9E2F3"/>
              <w:right w:val="single" w:sz="4" w:space="0" w:color="EBEBF0"/>
            </w:tcBorders>
            <w:vAlign w:val="center"/>
            <w:hideMark/>
          </w:tcPr>
          <w:p w14:paraId="21B33D86" w14:textId="77777777" w:rsidR="00463D5C" w:rsidRPr="00D80EA3" w:rsidRDefault="00463D5C" w:rsidP="00E250BA">
            <w:pPr>
              <w:ind w:right="-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lang w:val="en-US"/>
              </w:rPr>
              <w:t>1</w:t>
            </w:r>
            <w:r>
              <w:rPr>
                <w:color w:val="000000"/>
                <w:sz w:val="16"/>
              </w:rPr>
              <w:t>7,20</w:t>
            </w:r>
          </w:p>
        </w:tc>
        <w:tc>
          <w:tcPr>
            <w:tcW w:w="942" w:type="pct"/>
            <w:tcBorders>
              <w:top w:val="single" w:sz="4" w:space="0" w:color="EBEBF0"/>
              <w:left w:val="single" w:sz="4" w:space="0" w:color="EBEBF0"/>
              <w:bottom w:val="single" w:sz="2" w:space="0" w:color="D9E2F3"/>
              <w:right w:val="single" w:sz="4" w:space="0" w:color="EBEBF0"/>
            </w:tcBorders>
            <w:vAlign w:val="center"/>
            <w:hideMark/>
          </w:tcPr>
          <w:p w14:paraId="744BF918" w14:textId="77777777" w:rsidR="00463D5C" w:rsidRPr="00D80EA3" w:rsidRDefault="00463D5C" w:rsidP="00E250BA">
            <w:pPr>
              <w:autoSpaceDE w:val="0"/>
              <w:autoSpaceDN w:val="0"/>
              <w:adjustRightInd w:val="0"/>
              <w:ind w:right="-10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16"/>
              </w:rPr>
            </w:pPr>
            <w:r>
              <w:rPr>
                <w:color w:val="00B050"/>
                <w:sz w:val="16"/>
              </w:rPr>
              <w:t>5</w:t>
            </w:r>
            <w:r w:rsidRPr="00271DA0">
              <w:rPr>
                <w:color w:val="00B050"/>
                <w:sz w:val="16"/>
              </w:rPr>
              <w:t>,</w:t>
            </w:r>
            <w:r>
              <w:rPr>
                <w:color w:val="00B050"/>
                <w:sz w:val="16"/>
              </w:rPr>
              <w:t>27</w:t>
            </w:r>
          </w:p>
        </w:tc>
        <w:tc>
          <w:tcPr>
            <w:tcW w:w="942" w:type="pct"/>
            <w:tcBorders>
              <w:top w:val="single" w:sz="4" w:space="0" w:color="EBEBF0"/>
              <w:left w:val="single" w:sz="4" w:space="0" w:color="EBEBF0"/>
              <w:bottom w:val="single" w:sz="2" w:space="0" w:color="D9E2F3"/>
              <w:right w:val="single" w:sz="4" w:space="0" w:color="EBEBF0"/>
            </w:tcBorders>
            <w:vAlign w:val="center"/>
          </w:tcPr>
          <w:p w14:paraId="21A00F7F" w14:textId="77777777" w:rsidR="00463D5C" w:rsidRPr="00D80EA3" w:rsidRDefault="00463D5C" w:rsidP="00E250BA">
            <w:pPr>
              <w:autoSpaceDE w:val="0"/>
              <w:autoSpaceDN w:val="0"/>
              <w:adjustRightInd w:val="0"/>
              <w:ind w:right="-10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16,84</w:t>
            </w:r>
          </w:p>
        </w:tc>
        <w:tc>
          <w:tcPr>
            <w:tcW w:w="942" w:type="pct"/>
            <w:tcBorders>
              <w:top w:val="single" w:sz="4" w:space="0" w:color="EBEBF0"/>
              <w:left w:val="single" w:sz="4" w:space="0" w:color="EBEBF0"/>
              <w:bottom w:val="single" w:sz="2" w:space="0" w:color="D9E2F3"/>
              <w:right w:val="single" w:sz="4" w:space="0" w:color="EBEBF0"/>
            </w:tcBorders>
            <w:vAlign w:val="center"/>
          </w:tcPr>
          <w:p w14:paraId="147F45B1" w14:textId="77777777" w:rsidR="00463D5C" w:rsidRPr="0083493F" w:rsidRDefault="00463D5C" w:rsidP="00E250BA">
            <w:pPr>
              <w:autoSpaceDE w:val="0"/>
              <w:autoSpaceDN w:val="0"/>
              <w:adjustRightInd w:val="0"/>
              <w:ind w:right="-10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16"/>
                <w:lang w:val="en-US"/>
              </w:rPr>
            </w:pPr>
            <w:r w:rsidRPr="00D80EA3">
              <w:rPr>
                <w:sz w:val="16"/>
              </w:rPr>
              <w:t>-2,0</w:t>
            </w:r>
            <w:r w:rsidRPr="00D80EA3">
              <w:rPr>
                <w:sz w:val="16"/>
                <w:lang w:val="en-US"/>
              </w:rPr>
              <w:t>8</w:t>
            </w:r>
          </w:p>
        </w:tc>
      </w:tr>
    </w:tbl>
    <w:p w14:paraId="57F47577" w14:textId="77777777" w:rsidR="00463D5C" w:rsidRPr="001D7A47" w:rsidRDefault="00463D5C" w:rsidP="00463D5C">
      <w:pPr>
        <w:spacing w:before="120" w:after="120" w:line="240" w:lineRule="auto"/>
        <w:ind w:right="141"/>
        <w:jc w:val="right"/>
        <w:rPr>
          <w:rFonts w:ascii="Arial" w:eastAsia="Calibri" w:hAnsi="Arial" w:cs="Calibri"/>
          <w:b w:val="0"/>
          <w:i/>
          <w:color w:val="000000"/>
          <w:sz w:val="16"/>
        </w:rPr>
      </w:pPr>
      <w:r w:rsidRPr="001D7A47">
        <w:rPr>
          <w:rFonts w:ascii="Arial" w:eastAsia="Calibri" w:hAnsi="Arial" w:cs="Calibri"/>
          <w:b w:val="0"/>
          <w:i/>
          <w:color w:val="000000"/>
          <w:sz w:val="16"/>
        </w:rPr>
        <w:t xml:space="preserve">Источник: </w:t>
      </w:r>
      <w:r w:rsidRPr="00E3451F">
        <w:rPr>
          <w:rFonts w:ascii="Arial" w:eastAsia="Calibri" w:hAnsi="Arial" w:cs="Calibri"/>
          <w:b w:val="0"/>
          <w:i/>
          <w:color w:val="000000"/>
          <w:sz w:val="16"/>
        </w:rPr>
        <w:t>НАПИ (Национальное Агентство Промышленной Информации)</w:t>
      </w:r>
    </w:p>
    <w:p w14:paraId="5B908565" w14:textId="77777777" w:rsidR="00463D5C" w:rsidRDefault="00463D5C" w:rsidP="00463D5C">
      <w:pPr>
        <w:pStyle w:val="afb"/>
        <w:spacing w:before="360"/>
        <w:ind w:right="142"/>
        <w:rPr>
          <w:rFonts w:cs="Arial"/>
          <w:color w:val="auto"/>
        </w:rPr>
      </w:pPr>
      <w:r w:rsidRPr="00122BB9">
        <w:rPr>
          <w:rFonts w:cs="Arial"/>
          <w:color w:val="auto"/>
        </w:rPr>
        <w:t xml:space="preserve">Прогноз рынка новых </w:t>
      </w:r>
      <w:r w:rsidRPr="00021280">
        <w:rPr>
          <w:rFonts w:cs="Arial"/>
          <w:bCs/>
          <w:color w:val="auto"/>
        </w:rPr>
        <w:t>автобусов</w:t>
      </w:r>
      <w:r w:rsidRPr="00122BB9">
        <w:rPr>
          <w:rFonts w:cs="Arial"/>
          <w:color w:val="auto"/>
        </w:rPr>
        <w:t xml:space="preserve"> до 2025 г., тыс. шт.</w:t>
      </w:r>
    </w:p>
    <w:p w14:paraId="525A516D" w14:textId="7CC5F8E6" w:rsidR="00463D5C" w:rsidRPr="00F11C11" w:rsidRDefault="00C56B39" w:rsidP="00463D5C">
      <w:pPr>
        <w:pStyle w:val="afb"/>
        <w:ind w:right="141"/>
        <w:rPr>
          <w:rFonts w:cs="Arial"/>
          <w:color w:val="auto"/>
        </w:rPr>
      </w:pPr>
      <w:r>
        <w:rPr>
          <w:rFonts w:cs="Arial"/>
          <w:noProof/>
          <w:color w:val="auto"/>
        </w:rPr>
        <w:drawing>
          <wp:inline distT="0" distB="0" distL="0" distR="0" wp14:anchorId="45454FA9" wp14:editId="4508C6F8">
            <wp:extent cx="6370320" cy="3611880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320" cy="3611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F2A55A" w14:textId="77777777" w:rsidR="00463D5C" w:rsidRPr="00463D5C" w:rsidRDefault="00463D5C" w:rsidP="00AA27AB">
      <w:pPr>
        <w:pStyle w:val="af3"/>
        <w:ind w:left="0" w:firstLine="426"/>
        <w:rPr>
          <w:rFonts w:ascii="Arial" w:hAnsi="Arial" w:cs="Arial"/>
          <w:b w:val="0"/>
          <w:bCs/>
          <w:i/>
          <w:iCs/>
          <w:color w:val="auto"/>
          <w:sz w:val="16"/>
          <w:szCs w:val="16"/>
        </w:rPr>
      </w:pPr>
      <w:r w:rsidRPr="00463D5C">
        <w:rPr>
          <w:rFonts w:ascii="Arial" w:hAnsi="Arial" w:cs="Arial"/>
          <w:b w:val="0"/>
          <w:bCs/>
          <w:i/>
          <w:iCs/>
          <w:color w:val="auto"/>
          <w:sz w:val="16"/>
          <w:szCs w:val="16"/>
        </w:rPr>
        <w:t>* прогноз</w:t>
      </w:r>
    </w:p>
    <w:p w14:paraId="10BE56F9" w14:textId="77777777" w:rsidR="00463D5C" w:rsidRPr="00076CCD" w:rsidRDefault="00463D5C" w:rsidP="00463D5C">
      <w:pPr>
        <w:pStyle w:val="afa"/>
      </w:pPr>
      <w:r w:rsidRPr="008C2D07">
        <w:t>Источник</w:t>
      </w:r>
      <w:r w:rsidRPr="00E827D7">
        <w:t xml:space="preserve">: </w:t>
      </w:r>
      <w:r w:rsidRPr="001A41D2">
        <w:t>НАПИ (Национальное Агентство Промышленной Информации)</w:t>
      </w:r>
    </w:p>
    <w:p w14:paraId="711B49DF" w14:textId="3AD5FE0D" w:rsidR="00463D5C" w:rsidRDefault="00463D5C" w:rsidP="00463D5C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3E801AF4" w14:textId="77777777" w:rsidR="00463D5C" w:rsidRDefault="00463D5C" w:rsidP="00463D5C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3EEDF1CA" w14:textId="77777777" w:rsidR="00463D5C" w:rsidRPr="00C47513" w:rsidRDefault="00463D5C" w:rsidP="00463D5C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Arial" w:eastAsia="Calibri" w:hAnsi="Arial" w:cs="Arial"/>
          <w:bCs/>
          <w:color w:val="000000"/>
          <w:sz w:val="20"/>
          <w:szCs w:val="20"/>
        </w:rPr>
      </w:pPr>
      <w:r w:rsidRPr="00C47513">
        <w:rPr>
          <w:rFonts w:ascii="Arial" w:eastAsia="Calibri" w:hAnsi="Arial" w:cs="Arial"/>
          <w:bCs/>
          <w:color w:val="000000"/>
          <w:sz w:val="20"/>
          <w:szCs w:val="20"/>
        </w:rPr>
        <w:t xml:space="preserve">Прогноз структуры рынка новых </w:t>
      </w:r>
      <w:r w:rsidRPr="00021280">
        <w:rPr>
          <w:rFonts w:ascii="Arial" w:eastAsia="Calibri" w:hAnsi="Arial" w:cs="Arial"/>
          <w:bCs/>
          <w:color w:val="000000"/>
          <w:sz w:val="20"/>
          <w:szCs w:val="20"/>
        </w:rPr>
        <w:t>автобусов</w:t>
      </w:r>
      <w:r w:rsidRPr="0083493F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Pr="00C47513">
        <w:rPr>
          <w:rFonts w:ascii="Arial" w:eastAsia="Calibri" w:hAnsi="Arial" w:cs="Arial"/>
          <w:bCs/>
          <w:color w:val="000000"/>
          <w:sz w:val="20"/>
          <w:szCs w:val="20"/>
        </w:rPr>
        <w:t xml:space="preserve">в 2024 г., </w:t>
      </w:r>
      <w:r w:rsidRPr="00C47513">
        <w:rPr>
          <w:rFonts w:ascii="Arial" w:eastAsia="Calibri" w:hAnsi="Arial" w:cs="Arial"/>
          <w:bCs/>
          <w:color w:val="000000"/>
          <w:sz w:val="20"/>
          <w:szCs w:val="20"/>
        </w:rPr>
        <w:br/>
        <w:t>базовый сценарий</w:t>
      </w:r>
    </w:p>
    <w:p w14:paraId="49619CF0" w14:textId="52223C13" w:rsidR="00463D5C" w:rsidRPr="00C47513" w:rsidRDefault="00C56B39" w:rsidP="00463D5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Calibri" w:hAnsi="Arial" w:cs="Arial"/>
          <w:bCs/>
          <w:color w:val="0070C0"/>
          <w:sz w:val="22"/>
          <w:lang w:val="en-US"/>
        </w:rPr>
      </w:pPr>
      <w:r>
        <w:rPr>
          <w:rFonts w:ascii="Arial" w:eastAsia="Calibri" w:hAnsi="Arial" w:cs="Arial"/>
          <w:bCs/>
          <w:noProof/>
          <w:color w:val="0070C0"/>
          <w:sz w:val="22"/>
          <w:lang w:val="en-US"/>
        </w:rPr>
        <w:drawing>
          <wp:inline distT="0" distB="0" distL="0" distR="0" wp14:anchorId="776DDBC3" wp14:editId="73A9BF71">
            <wp:extent cx="4572000" cy="27432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E72C3" w14:textId="77777777" w:rsidR="00463D5C" w:rsidRPr="00C47513" w:rsidRDefault="00463D5C" w:rsidP="00463D5C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Arial" w:eastAsia="Calibri" w:hAnsi="Arial" w:cs="Arial"/>
          <w:b w:val="0"/>
          <w:i/>
          <w:iCs/>
          <w:color w:val="000000"/>
          <w:sz w:val="16"/>
          <w:szCs w:val="16"/>
        </w:rPr>
      </w:pPr>
      <w:r w:rsidRPr="00C47513">
        <w:rPr>
          <w:rFonts w:ascii="Arial" w:eastAsia="Calibri" w:hAnsi="Arial" w:cs="Arial"/>
          <w:b w:val="0"/>
          <w:i/>
          <w:iCs/>
          <w:color w:val="000000"/>
          <w:sz w:val="16"/>
          <w:szCs w:val="16"/>
        </w:rPr>
        <w:t xml:space="preserve">Источник: </w:t>
      </w:r>
      <w:r w:rsidRPr="001A41D2">
        <w:rPr>
          <w:rFonts w:ascii="Arial" w:eastAsia="Calibri" w:hAnsi="Arial" w:cs="Arial"/>
          <w:b w:val="0"/>
          <w:i/>
          <w:iCs/>
          <w:color w:val="000000"/>
          <w:sz w:val="16"/>
          <w:szCs w:val="16"/>
        </w:rPr>
        <w:t>НАПИ (Национальное Агентство Промышленной Информации)</w:t>
      </w:r>
    </w:p>
    <w:p w14:paraId="11CD375A" w14:textId="77777777" w:rsidR="00463D5C" w:rsidRPr="00C47513" w:rsidRDefault="00463D5C" w:rsidP="00AA27AB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Arial" w:eastAsia="Calibri" w:hAnsi="Arial" w:cs="Arial"/>
          <w:bCs/>
          <w:color w:val="000000"/>
          <w:sz w:val="20"/>
          <w:szCs w:val="20"/>
        </w:rPr>
      </w:pPr>
      <w:r w:rsidRPr="00C47513">
        <w:rPr>
          <w:rFonts w:ascii="Arial" w:eastAsia="Calibri" w:hAnsi="Arial" w:cs="Arial"/>
          <w:bCs/>
          <w:color w:val="000000"/>
          <w:sz w:val="20"/>
          <w:szCs w:val="20"/>
        </w:rPr>
        <w:t xml:space="preserve">Прогноз структуры рынка новых </w:t>
      </w:r>
      <w:r w:rsidRPr="00F41351">
        <w:rPr>
          <w:rFonts w:ascii="Arial" w:eastAsia="Calibri" w:hAnsi="Arial" w:cs="Arial"/>
          <w:bCs/>
          <w:color w:val="000000"/>
          <w:sz w:val="20"/>
          <w:szCs w:val="20"/>
        </w:rPr>
        <w:t>автобусов</w:t>
      </w:r>
      <w:r w:rsidRPr="0083493F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Pr="00C47513">
        <w:rPr>
          <w:rFonts w:ascii="Arial" w:eastAsia="Calibri" w:hAnsi="Arial" w:cs="Arial"/>
          <w:bCs/>
          <w:color w:val="000000"/>
          <w:sz w:val="20"/>
          <w:szCs w:val="20"/>
        </w:rPr>
        <w:t xml:space="preserve">в 2025 г., </w:t>
      </w:r>
      <w:r w:rsidRPr="00C47513">
        <w:rPr>
          <w:rFonts w:ascii="Arial" w:eastAsia="Calibri" w:hAnsi="Arial" w:cs="Arial"/>
          <w:bCs/>
          <w:color w:val="000000"/>
          <w:sz w:val="20"/>
          <w:szCs w:val="20"/>
        </w:rPr>
        <w:br/>
        <w:t>базовый сценарий</w:t>
      </w:r>
    </w:p>
    <w:p w14:paraId="08D138F6" w14:textId="4D1360FD" w:rsidR="00463D5C" w:rsidRPr="00C47513" w:rsidRDefault="00C56B39" w:rsidP="00463D5C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Arial" w:eastAsia="Calibri" w:hAnsi="Arial" w:cs="Arial"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Cs/>
          <w:noProof/>
          <w:color w:val="000000"/>
          <w:sz w:val="20"/>
          <w:szCs w:val="20"/>
        </w:rPr>
        <w:drawing>
          <wp:inline distT="0" distB="0" distL="0" distR="0" wp14:anchorId="6897CAA7" wp14:editId="1E6613D4">
            <wp:extent cx="4572000" cy="27432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82F0DC" w14:textId="77777777" w:rsidR="00463D5C" w:rsidRPr="00C47513" w:rsidRDefault="00463D5C" w:rsidP="00463D5C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Arial" w:eastAsia="Calibri" w:hAnsi="Arial" w:cs="Arial"/>
          <w:b w:val="0"/>
          <w:i/>
          <w:iCs/>
          <w:color w:val="000000"/>
          <w:sz w:val="16"/>
          <w:szCs w:val="16"/>
        </w:rPr>
      </w:pPr>
      <w:bookmarkStart w:id="2" w:name="_Hlk171044138"/>
      <w:r w:rsidRPr="00C47513">
        <w:rPr>
          <w:rFonts w:ascii="Arial" w:eastAsia="Calibri" w:hAnsi="Arial" w:cs="Arial"/>
          <w:b w:val="0"/>
          <w:i/>
          <w:iCs/>
          <w:color w:val="000000"/>
          <w:sz w:val="16"/>
          <w:szCs w:val="16"/>
        </w:rPr>
        <w:t xml:space="preserve">Источник: </w:t>
      </w:r>
      <w:r w:rsidRPr="001A41D2">
        <w:rPr>
          <w:rFonts w:ascii="Arial" w:eastAsia="Calibri" w:hAnsi="Arial" w:cs="Arial"/>
          <w:b w:val="0"/>
          <w:i/>
          <w:iCs/>
          <w:color w:val="000000"/>
          <w:sz w:val="16"/>
          <w:szCs w:val="16"/>
        </w:rPr>
        <w:t>НАПИ (Национальное Агентство Промышленной Информации)</w:t>
      </w:r>
      <w:bookmarkEnd w:id="2"/>
    </w:p>
    <w:sectPr w:rsidR="00463D5C" w:rsidRPr="00C47513" w:rsidSect="00463D5C">
      <w:headerReference w:type="default" r:id="rId10"/>
      <w:footerReference w:type="default" r:id="rId11"/>
      <w:pgSz w:w="12240" w:h="15840"/>
      <w:pgMar w:top="1702" w:right="474" w:bottom="1134" w:left="1701" w:header="426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E92A5" w14:textId="77777777" w:rsidR="005503F5" w:rsidRDefault="005503F5" w:rsidP="0071765E">
      <w:pPr>
        <w:spacing w:after="0" w:line="240" w:lineRule="auto"/>
      </w:pPr>
      <w:r>
        <w:separator/>
      </w:r>
    </w:p>
  </w:endnote>
  <w:endnote w:type="continuationSeparator" w:id="0">
    <w:p w14:paraId="4B3588E9" w14:textId="77777777" w:rsidR="005503F5" w:rsidRDefault="005503F5" w:rsidP="0071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FCBA" w14:textId="582AC3EC" w:rsidR="00263C6D" w:rsidRPr="007A2CAE" w:rsidRDefault="00463D5C" w:rsidP="00263C6D">
    <w:pPr>
      <w:rPr>
        <w:rFonts w:cs="Arial"/>
        <w:b w:val="0"/>
        <w:color w:val="808080"/>
        <w:sz w:val="16"/>
        <w:szCs w:val="16"/>
      </w:rPr>
    </w:pPr>
    <w:r w:rsidRPr="00463D5C">
      <w:rPr>
        <w:rFonts w:cs="Arial"/>
        <w:color w:val="808080"/>
        <w:sz w:val="16"/>
        <w:szCs w:val="16"/>
      </w:rPr>
      <w:t xml:space="preserve">Прогноз рынка новых автобусов на 2024–2025 </w:t>
    </w:r>
    <w:proofErr w:type="spellStart"/>
    <w:r w:rsidRPr="00463D5C">
      <w:rPr>
        <w:rFonts w:cs="Arial"/>
        <w:color w:val="808080"/>
        <w:sz w:val="16"/>
        <w:szCs w:val="16"/>
      </w:rPr>
      <w:t>гг.</w:t>
    </w:r>
    <w:r w:rsidR="00263C6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2BBA92" wp14:editId="76A144EF">
              <wp:simplePos x="0" y="0"/>
              <wp:positionH relativeFrom="margin">
                <wp:posOffset>6985</wp:posOffset>
              </wp:positionH>
              <wp:positionV relativeFrom="paragraph">
                <wp:posOffset>7620</wp:posOffset>
              </wp:positionV>
              <wp:extent cx="6372000" cy="0"/>
              <wp:effectExtent l="0" t="0" r="29210" b="19050"/>
              <wp:wrapNone/>
              <wp:docPr id="1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CFBCA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.6pt" to="502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" strokecolor="gray [1629]" strokeweight=".5pt">
              <v:stroke joinstyle="miter"/>
              <w10:wrap anchorx="margin"/>
            </v:line>
          </w:pict>
        </mc:Fallback>
      </mc:AlternateContent>
    </w:r>
    <w:r w:rsidR="00263C6D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3DE731F" wp14:editId="27F32E20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5080" b="9525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3D4E81" w14:textId="77777777" w:rsidR="00263C6D" w:rsidRPr="00FC73A9" w:rsidRDefault="00263C6D" w:rsidP="00263C6D">
                          <w:pPr>
                            <w:jc w:val="right"/>
                            <w:rPr>
                              <w:rFonts w:cs="Arial"/>
                              <w:b w:val="0"/>
                              <w:color w:val="7F7F7F" w:themeColor="text1" w:themeTint="80"/>
                              <w:szCs w:val="18"/>
                            </w:rPr>
                          </w:pPr>
                          <w:r w:rsidRPr="00FC73A9">
                            <w:rPr>
                              <w:rFonts w:cs="Arial"/>
                              <w:b w:val="0"/>
                              <w:color w:val="7F7F7F" w:themeColor="text1" w:themeTint="80"/>
                              <w:szCs w:val="18"/>
                            </w:rPr>
                            <w:fldChar w:fldCharType="begin"/>
                          </w:r>
                          <w:r w:rsidRPr="00FC73A9">
                            <w:rPr>
                              <w:rFonts w:cs="Arial"/>
                              <w:color w:val="7F7F7F" w:themeColor="text1" w:themeTint="80"/>
                              <w:szCs w:val="18"/>
                            </w:rPr>
                            <w:instrText>PAGE   \* MERGEFORMAT</w:instrText>
                          </w:r>
                          <w:r w:rsidRPr="00FC73A9">
                            <w:rPr>
                              <w:rFonts w:cs="Arial"/>
                              <w:b w:val="0"/>
                              <w:color w:val="7F7F7F" w:themeColor="text1" w:themeTint="80"/>
                              <w:szCs w:val="18"/>
                            </w:rPr>
                            <w:fldChar w:fldCharType="separate"/>
                          </w:r>
                          <w:r w:rsidR="00A567B0">
                            <w:rPr>
                              <w:rFonts w:cs="Arial"/>
                              <w:noProof/>
                              <w:color w:val="7F7F7F" w:themeColor="text1" w:themeTint="80"/>
                              <w:szCs w:val="18"/>
                            </w:rPr>
                            <w:t>1</w:t>
                          </w:r>
                          <w:r w:rsidRPr="00FC73A9">
                            <w:rPr>
                              <w:rFonts w:cs="Arial"/>
                              <w:b w:val="0"/>
                              <w:color w:val="7F7F7F" w:themeColor="text1" w:themeTint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DE731F" id="Прямоугольник 40" o:spid="_x0000_s1026" style="position:absolute;margin-left:429.85pt;margin-top:790.95pt;width:26.6pt;height:18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SIJwIAAPY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" fillcolor="white [3212]" stroked="f">
              <v:textbox>
                <w:txbxContent>
                  <w:p w14:paraId="373D4E81" w14:textId="77777777" w:rsidR="00263C6D" w:rsidRPr="00FC73A9" w:rsidRDefault="00263C6D" w:rsidP="00263C6D">
                    <w:pPr>
                      <w:jc w:val="right"/>
                      <w:rPr>
                        <w:rFonts w:cs="Arial"/>
                        <w:b w:val="0"/>
                        <w:color w:val="7F7F7F" w:themeColor="text1" w:themeTint="80"/>
                        <w:szCs w:val="18"/>
                      </w:rPr>
                    </w:pPr>
                    <w:r w:rsidRPr="00FC73A9">
                      <w:rPr>
                        <w:rFonts w:cs="Arial"/>
                        <w:b w:val="0"/>
                        <w:color w:val="7F7F7F" w:themeColor="text1" w:themeTint="80"/>
                        <w:szCs w:val="18"/>
                      </w:rPr>
                      <w:fldChar w:fldCharType="begin"/>
                    </w:r>
                    <w:r w:rsidRPr="00FC73A9">
                      <w:rPr>
                        <w:rFonts w:cs="Arial"/>
                        <w:color w:val="7F7F7F" w:themeColor="text1" w:themeTint="80"/>
                        <w:szCs w:val="18"/>
                      </w:rPr>
                      <w:instrText>PAGE   \* MERGEFORMAT</w:instrText>
                    </w:r>
                    <w:r w:rsidRPr="00FC73A9">
                      <w:rPr>
                        <w:rFonts w:cs="Arial"/>
                        <w:b w:val="0"/>
                        <w:color w:val="7F7F7F" w:themeColor="text1" w:themeTint="80"/>
                        <w:szCs w:val="18"/>
                      </w:rPr>
                      <w:fldChar w:fldCharType="separate"/>
                    </w:r>
                    <w:r w:rsidR="00A567B0">
                      <w:rPr>
                        <w:rFonts w:cs="Arial"/>
                        <w:noProof/>
                        <w:color w:val="7F7F7F" w:themeColor="text1" w:themeTint="80"/>
                        <w:szCs w:val="18"/>
                      </w:rPr>
                      <w:t>1</w:t>
                    </w:r>
                    <w:r w:rsidRPr="00FC73A9">
                      <w:rPr>
                        <w:rFonts w:cs="Arial"/>
                        <w:b w:val="0"/>
                        <w:color w:val="7F7F7F" w:themeColor="text1" w:themeTint="80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proofErr w:type="spellEnd"/>
  </w:p>
  <w:sdt>
    <w:sdtPr>
      <w:id w:val="122129308"/>
      <w:docPartObj>
        <w:docPartGallery w:val="Page Numbers (Bottom of Page)"/>
        <w:docPartUnique/>
      </w:docPartObj>
    </w:sdtPr>
    <w:sdtEndPr>
      <w:rPr>
        <w:b w:val="0"/>
        <w:bCs/>
        <w:noProof/>
        <w:color w:val="auto"/>
        <w:sz w:val="20"/>
        <w:szCs w:val="20"/>
      </w:rPr>
    </w:sdtEndPr>
    <w:sdtContent>
      <w:p w14:paraId="69FF3094" w14:textId="77777777" w:rsidR="00263C6D" w:rsidRPr="00463D5C" w:rsidRDefault="00263C6D">
        <w:pPr>
          <w:pStyle w:val="af7"/>
          <w:jc w:val="right"/>
          <w:rPr>
            <w:b w:val="0"/>
            <w:bCs/>
            <w:color w:val="auto"/>
            <w:sz w:val="20"/>
            <w:szCs w:val="20"/>
          </w:rPr>
        </w:pPr>
        <w:r w:rsidRPr="00463D5C">
          <w:rPr>
            <w:b w:val="0"/>
            <w:bCs/>
            <w:color w:val="auto"/>
            <w:sz w:val="20"/>
            <w:szCs w:val="20"/>
          </w:rPr>
          <w:fldChar w:fldCharType="begin"/>
        </w:r>
        <w:r w:rsidRPr="00463D5C">
          <w:rPr>
            <w:b w:val="0"/>
            <w:bCs/>
            <w:color w:val="auto"/>
            <w:sz w:val="20"/>
            <w:szCs w:val="20"/>
          </w:rPr>
          <w:instrText xml:space="preserve"> PAGE   \* MERGEFORMAT </w:instrText>
        </w:r>
        <w:r w:rsidRPr="00463D5C">
          <w:rPr>
            <w:b w:val="0"/>
            <w:bCs/>
            <w:color w:val="auto"/>
            <w:sz w:val="20"/>
            <w:szCs w:val="20"/>
          </w:rPr>
          <w:fldChar w:fldCharType="separate"/>
        </w:r>
        <w:r w:rsidR="00A567B0" w:rsidRPr="00463D5C">
          <w:rPr>
            <w:b w:val="0"/>
            <w:bCs/>
            <w:noProof/>
            <w:color w:val="auto"/>
            <w:sz w:val="20"/>
            <w:szCs w:val="20"/>
          </w:rPr>
          <w:t>1</w:t>
        </w:r>
        <w:r w:rsidRPr="00463D5C">
          <w:rPr>
            <w:b w:val="0"/>
            <w:bCs/>
            <w:noProof/>
            <w:color w:val="auto"/>
            <w:sz w:val="20"/>
            <w:szCs w:val="20"/>
          </w:rPr>
          <w:fldChar w:fldCharType="end"/>
        </w:r>
      </w:p>
    </w:sdtContent>
  </w:sdt>
  <w:p w14:paraId="7DF782C4" w14:textId="77777777" w:rsidR="00263C6D" w:rsidRDefault="00263C6D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8ED9" w14:textId="77777777" w:rsidR="005503F5" w:rsidRDefault="005503F5" w:rsidP="0071765E">
      <w:pPr>
        <w:spacing w:after="0" w:line="240" w:lineRule="auto"/>
      </w:pPr>
      <w:r>
        <w:separator/>
      </w:r>
    </w:p>
  </w:footnote>
  <w:footnote w:type="continuationSeparator" w:id="0">
    <w:p w14:paraId="171E2BD0" w14:textId="77777777" w:rsidR="005503F5" w:rsidRDefault="005503F5" w:rsidP="0071765E">
      <w:pPr>
        <w:spacing w:after="0" w:line="240" w:lineRule="auto"/>
      </w:pPr>
      <w:r>
        <w:continuationSeparator/>
      </w:r>
    </w:p>
  </w:footnote>
  <w:footnote w:id="1">
    <w:p w14:paraId="5261862C" w14:textId="77777777" w:rsidR="00463D5C" w:rsidRPr="00293D0F" w:rsidRDefault="00463D5C" w:rsidP="00463D5C">
      <w:pPr>
        <w:pStyle w:val="afc"/>
        <w:jc w:val="both"/>
        <w:rPr>
          <w:b w:val="0"/>
          <w:bCs/>
          <w:i/>
          <w:iCs/>
          <w:color w:val="auto"/>
        </w:rPr>
      </w:pPr>
      <w:r w:rsidRPr="00293D0F">
        <w:rPr>
          <w:rStyle w:val="afe"/>
          <w:b w:val="0"/>
          <w:bCs/>
          <w:i/>
          <w:iCs/>
          <w:color w:val="auto"/>
        </w:rPr>
        <w:footnoteRef/>
      </w:r>
      <w:r w:rsidRPr="00293D0F">
        <w:rPr>
          <w:b w:val="0"/>
          <w:bCs/>
          <w:i/>
          <w:iCs/>
          <w:color w:val="auto"/>
        </w:rPr>
        <w:t xml:space="preserve"> Следующее заседание Совета директоров Банка России, на котором будет рассматриваться вопрос об уровне ключевой ставки, запланировано на 13 сентября 2024 года.</w:t>
      </w:r>
    </w:p>
  </w:footnote>
  <w:footnote w:id="2">
    <w:p w14:paraId="026537E1" w14:textId="77777777" w:rsidR="00463D5C" w:rsidRPr="00BE6ECE" w:rsidRDefault="00463D5C" w:rsidP="00463D5C">
      <w:pPr>
        <w:pStyle w:val="afc"/>
        <w:jc w:val="both"/>
        <w:rPr>
          <w:b w:val="0"/>
          <w:bCs/>
          <w:i/>
          <w:iCs/>
        </w:rPr>
      </w:pPr>
      <w:r w:rsidRPr="00BE6ECE">
        <w:rPr>
          <w:rStyle w:val="afe"/>
          <w:b w:val="0"/>
          <w:bCs/>
          <w:i/>
          <w:iCs/>
          <w:color w:val="auto"/>
        </w:rPr>
        <w:footnoteRef/>
      </w:r>
      <w:r w:rsidRPr="00BE6ECE">
        <w:rPr>
          <w:b w:val="0"/>
          <w:bCs/>
          <w:i/>
          <w:iCs/>
          <w:color w:val="auto"/>
        </w:rPr>
        <w:t xml:space="preserve"> ЦБ не исключает дополнительного повышения ключевой ставки после 26 июля, сообщила на пресс-конференции глава Центробанка Эльвира Набиуллина.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EFA4" w14:textId="22A141C5" w:rsidR="0071765E" w:rsidRPr="0071765E" w:rsidRDefault="0071765E" w:rsidP="0071765E">
    <w:pPr>
      <w:ind w:left="142" w:hanging="1135"/>
      <w:rPr>
        <w:color w:val="A6A6A6"/>
      </w:rPr>
    </w:pPr>
    <w:r>
      <w:rPr>
        <w:rFonts w:ascii="Arial" w:hAnsi="Arial" w:cs="Arial"/>
        <w:noProof/>
        <w:color w:val="33333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237B5" wp14:editId="1B40151D">
              <wp:simplePos x="0" y="0"/>
              <wp:positionH relativeFrom="column">
                <wp:posOffset>188595</wp:posOffset>
              </wp:positionH>
              <wp:positionV relativeFrom="paragraph">
                <wp:posOffset>586105</wp:posOffset>
              </wp:positionV>
              <wp:extent cx="6192000" cy="0"/>
              <wp:effectExtent l="0" t="0" r="37465" b="19050"/>
              <wp:wrapNone/>
              <wp:docPr id="17" name="Прямая соединительная линия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815401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46.15pt" to="502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" strokecolor="gray [1629]" strokeweight=".5pt"/>
          </w:pict>
        </mc:Fallback>
      </mc:AlternateContent>
    </w:r>
    <w:r>
      <w:rPr>
        <w:rFonts w:ascii="Arial" w:hAnsi="Arial" w:cs="Arial"/>
        <w:noProof/>
        <w:color w:val="333333"/>
      </w:rPr>
      <w:drawing>
        <wp:inline distT="0" distB="0" distL="0" distR="0" wp14:anchorId="0476C4C4" wp14:editId="5B6754C4">
          <wp:extent cx="695325" cy="405832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12" cy="43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333333"/>
      </w:rPr>
      <w:tab/>
    </w:r>
    <w:r>
      <w:rPr>
        <w:rFonts w:ascii="Arial" w:hAnsi="Arial" w:cs="Arial"/>
        <w:color w:val="333333"/>
      </w:rPr>
      <w:tab/>
    </w:r>
    <w:r w:rsidRPr="00A61EB0">
      <w:rPr>
        <w:rFonts w:ascii="Arial" w:hAnsi="Arial" w:cs="Arial"/>
        <w:sz w:val="16"/>
        <w:szCs w:val="16"/>
      </w:rPr>
      <w:t>НАПИ (Национальное Агентство Промышленной Информации)</w:t>
    </w:r>
    <w:r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 w:rsidRPr="00A61EB0">
      <w:rPr>
        <w:rFonts w:ascii="Arial" w:hAnsi="Arial" w:cs="Arial"/>
        <w:color w:val="0070C0"/>
        <w:sz w:val="16"/>
        <w:szCs w:val="16"/>
      </w:rPr>
      <w:t>https://napinfo.ru/</w:t>
    </w:r>
    <w:r w:rsidRPr="00A61EB0">
      <w:rPr>
        <w:rFonts w:ascii="Arial" w:hAnsi="Arial" w:cs="Arial"/>
        <w:color w:val="0070C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5911"/>
    <w:multiLevelType w:val="hybridMultilevel"/>
    <w:tmpl w:val="60F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729B"/>
    <w:multiLevelType w:val="hybridMultilevel"/>
    <w:tmpl w:val="FA1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615AB"/>
    <w:multiLevelType w:val="hybridMultilevel"/>
    <w:tmpl w:val="CA6E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6C"/>
    <w:rsid w:val="00015D56"/>
    <w:rsid w:val="0002508F"/>
    <w:rsid w:val="00045CCD"/>
    <w:rsid w:val="00051EEC"/>
    <w:rsid w:val="00086FDB"/>
    <w:rsid w:val="000B5141"/>
    <w:rsid w:val="000C7F97"/>
    <w:rsid w:val="0015192A"/>
    <w:rsid w:val="0018521E"/>
    <w:rsid w:val="001D0F9E"/>
    <w:rsid w:val="001F6B3F"/>
    <w:rsid w:val="00230525"/>
    <w:rsid w:val="00240A61"/>
    <w:rsid w:val="00250A52"/>
    <w:rsid w:val="00263C6D"/>
    <w:rsid w:val="00313776"/>
    <w:rsid w:val="00364802"/>
    <w:rsid w:val="00374AD2"/>
    <w:rsid w:val="003E33DD"/>
    <w:rsid w:val="00463D5C"/>
    <w:rsid w:val="004672D1"/>
    <w:rsid w:val="00470E98"/>
    <w:rsid w:val="004A789A"/>
    <w:rsid w:val="004C58FD"/>
    <w:rsid w:val="004D1BE8"/>
    <w:rsid w:val="005503F5"/>
    <w:rsid w:val="005770D4"/>
    <w:rsid w:val="005A2AFF"/>
    <w:rsid w:val="005D79A2"/>
    <w:rsid w:val="005E0373"/>
    <w:rsid w:val="00604943"/>
    <w:rsid w:val="006056FD"/>
    <w:rsid w:val="00627167"/>
    <w:rsid w:val="00670AE9"/>
    <w:rsid w:val="006A36FA"/>
    <w:rsid w:val="006C32C7"/>
    <w:rsid w:val="00704AEC"/>
    <w:rsid w:val="0071765E"/>
    <w:rsid w:val="007D2D5C"/>
    <w:rsid w:val="008B4555"/>
    <w:rsid w:val="008C48D8"/>
    <w:rsid w:val="00941231"/>
    <w:rsid w:val="0096396C"/>
    <w:rsid w:val="009C50C8"/>
    <w:rsid w:val="009E27E1"/>
    <w:rsid w:val="009E5165"/>
    <w:rsid w:val="00A01B24"/>
    <w:rsid w:val="00A20D7D"/>
    <w:rsid w:val="00A37270"/>
    <w:rsid w:val="00A44E87"/>
    <w:rsid w:val="00A567B0"/>
    <w:rsid w:val="00A61EB0"/>
    <w:rsid w:val="00AA27AB"/>
    <w:rsid w:val="00AB3718"/>
    <w:rsid w:val="00AD063B"/>
    <w:rsid w:val="00B93F87"/>
    <w:rsid w:val="00B95C4A"/>
    <w:rsid w:val="00BD6DB4"/>
    <w:rsid w:val="00C00935"/>
    <w:rsid w:val="00C56B39"/>
    <w:rsid w:val="00CE52D8"/>
    <w:rsid w:val="00D24EFA"/>
    <w:rsid w:val="00D61A88"/>
    <w:rsid w:val="00D732C0"/>
    <w:rsid w:val="00D82FB5"/>
    <w:rsid w:val="00DE364A"/>
    <w:rsid w:val="00E17CAB"/>
    <w:rsid w:val="00E2772D"/>
    <w:rsid w:val="00E36298"/>
    <w:rsid w:val="00E70CCD"/>
    <w:rsid w:val="00E77160"/>
    <w:rsid w:val="00E82680"/>
    <w:rsid w:val="00EE36D4"/>
    <w:rsid w:val="00F42B9F"/>
    <w:rsid w:val="00F95F1C"/>
    <w:rsid w:val="00F96235"/>
    <w:rsid w:val="00FC5835"/>
    <w:rsid w:val="00FD12E0"/>
    <w:rsid w:val="00FE3D77"/>
    <w:rsid w:val="00FE43CE"/>
    <w:rsid w:val="00FF3D1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5104"/>
  <w15:chartTrackingRefBased/>
  <w15:docId w15:val="{60E7731F-567C-443D-A460-731569CA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аголовок1"/>
    <w:qFormat/>
    <w:rsid w:val="00463D5C"/>
    <w:pPr>
      <w:spacing w:before="0" w:after="160" w:line="259" w:lineRule="auto"/>
    </w:pPr>
    <w:rPr>
      <w:b/>
      <w:color w:val="FF0000"/>
      <w:sz w:val="28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F7782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82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82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82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82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82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82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782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F7782"/>
    <w:rPr>
      <w:caps/>
      <w:spacing w:val="15"/>
      <w:shd w:val="clear" w:color="auto" w:fill="F9CEC2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F7782"/>
    <w:rPr>
      <w:caps/>
      <w:color w:val="511707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77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77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F7782"/>
    <w:rPr>
      <w:b w:val="0"/>
      <w:bCs/>
      <w:color w:val="7B230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7782"/>
    <w:pPr>
      <w:spacing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F7782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7782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F77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F7782"/>
    <w:rPr>
      <w:b/>
      <w:bCs/>
    </w:rPr>
  </w:style>
  <w:style w:type="character" w:styleId="a9">
    <w:name w:val="Emphasis"/>
    <w:uiPriority w:val="20"/>
    <w:qFormat/>
    <w:rsid w:val="00FF7782"/>
    <w:rPr>
      <w:caps/>
      <w:color w:val="511707" w:themeColor="accent1" w:themeShade="7F"/>
      <w:spacing w:val="5"/>
    </w:rPr>
  </w:style>
  <w:style w:type="paragraph" w:styleId="aa">
    <w:name w:val="No Spacing"/>
    <w:uiPriority w:val="1"/>
    <w:qFormat/>
    <w:rsid w:val="00FF778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F778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F7782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7782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F7782"/>
    <w:rPr>
      <w:color w:val="A5300F" w:themeColor="accent1"/>
      <w:sz w:val="24"/>
      <w:szCs w:val="24"/>
    </w:rPr>
  </w:style>
  <w:style w:type="character" w:styleId="ad">
    <w:name w:val="Subtle Emphasis"/>
    <w:uiPriority w:val="19"/>
    <w:qFormat/>
    <w:rsid w:val="00FF7782"/>
    <w:rPr>
      <w:i/>
      <w:iCs/>
      <w:color w:val="511707" w:themeColor="accent1" w:themeShade="7F"/>
    </w:rPr>
  </w:style>
  <w:style w:type="character" w:styleId="ae">
    <w:name w:val="Intense Emphasis"/>
    <w:uiPriority w:val="21"/>
    <w:qFormat/>
    <w:rsid w:val="00FF7782"/>
    <w:rPr>
      <w:b/>
      <w:bCs/>
      <w:caps/>
      <w:color w:val="511707" w:themeColor="accent1" w:themeShade="7F"/>
      <w:spacing w:val="10"/>
    </w:rPr>
  </w:style>
  <w:style w:type="character" w:styleId="af">
    <w:name w:val="Subtle Reference"/>
    <w:uiPriority w:val="31"/>
    <w:qFormat/>
    <w:rsid w:val="00FF7782"/>
    <w:rPr>
      <w:b/>
      <w:bCs/>
      <w:color w:val="A5300F" w:themeColor="accent1"/>
    </w:rPr>
  </w:style>
  <w:style w:type="character" w:styleId="af0">
    <w:name w:val="Intense Reference"/>
    <w:uiPriority w:val="32"/>
    <w:qFormat/>
    <w:rsid w:val="00FF7782"/>
    <w:rPr>
      <w:b/>
      <w:bCs/>
      <w:i/>
      <w:iCs/>
      <w:caps/>
      <w:color w:val="A5300F" w:themeColor="accent1"/>
    </w:rPr>
  </w:style>
  <w:style w:type="character" w:styleId="af1">
    <w:name w:val="Book Title"/>
    <w:uiPriority w:val="33"/>
    <w:qFormat/>
    <w:rsid w:val="00FF7782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F7782"/>
    <w:pPr>
      <w:outlineLvl w:val="9"/>
    </w:pPr>
  </w:style>
  <w:style w:type="paragraph" w:styleId="af3">
    <w:name w:val="List Paragraph"/>
    <w:basedOn w:val="a"/>
    <w:link w:val="af4"/>
    <w:uiPriority w:val="34"/>
    <w:qFormat/>
    <w:rsid w:val="0096396C"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rsid w:val="0071765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71765E"/>
  </w:style>
  <w:style w:type="paragraph" w:styleId="af7">
    <w:name w:val="footer"/>
    <w:basedOn w:val="a"/>
    <w:link w:val="af8"/>
    <w:uiPriority w:val="99"/>
    <w:unhideWhenUsed/>
    <w:rsid w:val="0071765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71765E"/>
  </w:style>
  <w:style w:type="character" w:styleId="af9">
    <w:name w:val="Hyperlink"/>
    <w:basedOn w:val="a0"/>
    <w:uiPriority w:val="99"/>
    <w:unhideWhenUsed/>
    <w:rsid w:val="0071765E"/>
    <w:rPr>
      <w:color w:val="6B9F25" w:themeColor="hyperlink"/>
      <w:u w:val="single"/>
    </w:rPr>
  </w:style>
  <w:style w:type="paragraph" w:customStyle="1" w:styleId="afa">
    <w:name w:val="Источник"/>
    <w:basedOn w:val="a"/>
    <w:autoRedefine/>
    <w:qFormat/>
    <w:rsid w:val="00463D5C"/>
    <w:pPr>
      <w:spacing w:after="120" w:line="240" w:lineRule="auto"/>
      <w:jc w:val="right"/>
    </w:pPr>
    <w:rPr>
      <w:rFonts w:ascii="Arial" w:eastAsia="Calibri" w:hAnsi="Arial" w:cs="Calibri"/>
      <w:b w:val="0"/>
      <w:i/>
      <w:color w:val="000000" w:themeColor="text1"/>
      <w:sz w:val="16"/>
    </w:rPr>
  </w:style>
  <w:style w:type="paragraph" w:customStyle="1" w:styleId="afb">
    <w:name w:val="Названия таблиц и диаграмм"/>
    <w:basedOn w:val="a"/>
    <w:qFormat/>
    <w:rsid w:val="00463D5C"/>
    <w:pPr>
      <w:spacing w:before="120" w:after="120" w:line="240" w:lineRule="auto"/>
      <w:jc w:val="center"/>
    </w:pPr>
    <w:rPr>
      <w:rFonts w:ascii="Arial" w:eastAsia="Calibri" w:hAnsi="Arial" w:cs="Calibri"/>
      <w:color w:val="0070C0"/>
      <w:sz w:val="20"/>
    </w:rPr>
  </w:style>
  <w:style w:type="paragraph" w:styleId="afc">
    <w:name w:val="footnote text"/>
    <w:basedOn w:val="a"/>
    <w:link w:val="afd"/>
    <w:uiPriority w:val="99"/>
    <w:semiHidden/>
    <w:unhideWhenUsed/>
    <w:rsid w:val="00463D5C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463D5C"/>
    <w:rPr>
      <w:b/>
      <w:color w:val="FF0000"/>
      <w:lang w:val="ru-RU"/>
    </w:rPr>
  </w:style>
  <w:style w:type="character" w:styleId="afe">
    <w:name w:val="footnote reference"/>
    <w:basedOn w:val="a0"/>
    <w:uiPriority w:val="99"/>
    <w:semiHidden/>
    <w:unhideWhenUsed/>
    <w:rsid w:val="00463D5C"/>
    <w:rPr>
      <w:vertAlign w:val="superscript"/>
    </w:rPr>
  </w:style>
  <w:style w:type="table" w:customStyle="1" w:styleId="27">
    <w:name w:val="Сетка таблицы27"/>
    <w:basedOn w:val="a1"/>
    <w:uiPriority w:val="59"/>
    <w:rsid w:val="00463D5C"/>
    <w:pPr>
      <w:spacing w:before="0" w:after="0" w:line="240" w:lineRule="auto"/>
    </w:pPr>
    <w:rPr>
      <w:rFonts w:ascii="Arial" w:eastAsia="Calibri" w:hAnsi="Arial" w:cs="Times New Roman"/>
      <w:sz w:val="18"/>
      <w:szCs w:val="22"/>
      <w:lang w:val="ru-RU"/>
    </w:rPr>
    <w:tblPr>
      <w:tblStyleRowBandSize w:val="1"/>
      <w:tblInd w:w="0" w:type="nil"/>
      <w:tblBorders>
        <w:top w:val="single" w:sz="4" w:space="0" w:color="FFFFFF"/>
        <w:bottom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pPr>
        <w:jc w:val="center"/>
      </w:pPr>
      <w:rPr>
        <w:rFonts w:ascii="Arial" w:hAnsi="Arial" w:cs="Arial" w:hint="default"/>
        <w:b/>
        <w:color w:val="FFFFFF"/>
        <w:sz w:val="18"/>
        <w:szCs w:val="18"/>
      </w:rPr>
      <w:tblPr/>
      <w:tcPr>
        <w:shd w:val="clear" w:color="auto" w:fill="2C3E50"/>
      </w:tcPr>
    </w:tblStylePr>
    <w:tblStylePr w:type="lastRow">
      <w:pPr>
        <w:jc w:val="center"/>
      </w:pPr>
      <w:rPr>
        <w:rFonts w:ascii="Arial" w:hAnsi="Arial" w:cs="Arial" w:hint="default"/>
        <w:b/>
        <w:color w:val="FF0000"/>
        <w:sz w:val="18"/>
        <w:szCs w:val="18"/>
      </w:rPr>
      <w:tblPr/>
      <w:tcPr>
        <w:tcBorders>
          <w:top w:val="single" w:sz="4" w:space="0" w:color="FF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pPr>
        <w:jc w:val="center"/>
      </w:pPr>
      <w:rPr>
        <w:rFonts w:ascii="Arial" w:hAnsi="Arial" w:cs="Arial" w:hint="default"/>
        <w:color w:val="000000"/>
        <w:sz w:val="16"/>
        <w:szCs w:val="16"/>
      </w:rPr>
      <w:tblPr/>
      <w:tcPr>
        <w:shd w:val="clear" w:color="auto" w:fill="FFFFFF"/>
      </w:tcPr>
    </w:tblStylePr>
    <w:tblStylePr w:type="band2Horz">
      <w:pPr>
        <w:jc w:val="center"/>
      </w:pPr>
      <w:rPr>
        <w:rFonts w:ascii="Arial" w:hAnsi="Arial" w:cs="Arial" w:hint="default"/>
        <w:color w:val="000000"/>
        <w:sz w:val="18"/>
        <w:szCs w:val="18"/>
      </w:rPr>
      <w:tblPr/>
      <w:tcPr>
        <w:shd w:val="clear" w:color="auto" w:fill="EBEBF0"/>
      </w:tcPr>
    </w:tblStylePr>
  </w:style>
  <w:style w:type="character" w:customStyle="1" w:styleId="af4">
    <w:name w:val="Абзац списка Знак"/>
    <w:basedOn w:val="a0"/>
    <w:link w:val="af3"/>
    <w:uiPriority w:val="34"/>
    <w:locked/>
    <w:rsid w:val="00463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Болушева Ольга Александровна</dc:creator>
  <cp:keywords/>
  <dc:description/>
  <cp:lastModifiedBy>Болушева Ольга Александровна</cp:lastModifiedBy>
  <cp:revision>3</cp:revision>
  <dcterms:created xsi:type="dcterms:W3CDTF">2024-07-29T08:53:00Z</dcterms:created>
  <dcterms:modified xsi:type="dcterms:W3CDTF">2024-07-29T08:55:00Z</dcterms:modified>
</cp:coreProperties>
</file>