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207D" w14:textId="22B49A1B" w:rsidR="005272AE" w:rsidRDefault="000B4927" w:rsidP="005272AE">
      <w:pPr>
        <w:rPr>
          <w:rFonts w:ascii="Arial" w:eastAsia="Calibri" w:hAnsi="Arial" w:cs="Arial"/>
          <w:color w:val="0070C0"/>
          <w:sz w:val="22"/>
        </w:rPr>
      </w:pPr>
      <w:r>
        <w:rPr>
          <w:rFonts w:ascii="Arial" w:eastAsia="Calibri" w:hAnsi="Arial" w:cs="Arial"/>
          <w:color w:val="0070C0"/>
          <w:sz w:val="22"/>
        </w:rPr>
        <w:t>Прогноз рынка легковых автомобилей</w:t>
      </w:r>
    </w:p>
    <w:p w14:paraId="0C78A6C0" w14:textId="5D74030A" w:rsidR="00C13C20" w:rsidRPr="00017F28" w:rsidRDefault="00C13C20" w:rsidP="00CF1E74">
      <w:pPr>
        <w:ind w:firstLine="709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017F28">
        <w:rPr>
          <w:rFonts w:ascii="Arial" w:hAnsi="Arial" w:cs="Arial"/>
          <w:b w:val="0"/>
          <w:color w:val="auto"/>
          <w:sz w:val="20"/>
          <w:szCs w:val="20"/>
        </w:rPr>
        <w:t xml:space="preserve">Прогноз по рынку новых </w:t>
      </w:r>
      <w:r w:rsidR="002C1760" w:rsidRPr="00017F28">
        <w:rPr>
          <w:rFonts w:ascii="Arial" w:hAnsi="Arial" w:cs="Arial"/>
          <w:b w:val="0"/>
          <w:color w:val="auto"/>
          <w:sz w:val="20"/>
          <w:szCs w:val="20"/>
        </w:rPr>
        <w:t>легковых автомобилей</w:t>
      </w:r>
      <w:r w:rsidRPr="00017F28">
        <w:rPr>
          <w:rFonts w:ascii="Arial" w:hAnsi="Arial" w:cs="Arial"/>
          <w:b w:val="0"/>
          <w:color w:val="auto"/>
          <w:sz w:val="20"/>
          <w:szCs w:val="20"/>
        </w:rPr>
        <w:t xml:space="preserve"> сформирован с построением трех сценариев: базового, о</w:t>
      </w:r>
      <w:r w:rsidR="002C1760" w:rsidRPr="00017F28">
        <w:rPr>
          <w:rFonts w:ascii="Arial" w:hAnsi="Arial" w:cs="Arial"/>
          <w:b w:val="0"/>
          <w:color w:val="auto"/>
          <w:sz w:val="20"/>
          <w:szCs w:val="20"/>
        </w:rPr>
        <w:t>птимистичного и пессимистичного</w:t>
      </w:r>
      <w:r w:rsidRPr="00017F28">
        <w:rPr>
          <w:rFonts w:ascii="Arial" w:hAnsi="Arial" w:cs="Arial"/>
          <w:b w:val="0"/>
          <w:color w:val="auto"/>
          <w:sz w:val="20"/>
          <w:szCs w:val="20"/>
        </w:rPr>
        <w:t xml:space="preserve">. </w:t>
      </w:r>
    </w:p>
    <w:p w14:paraId="19B87553" w14:textId="1D07E7AE" w:rsidR="00F31977" w:rsidRPr="00CF1E74" w:rsidRDefault="00AB5FC2" w:rsidP="00194E20">
      <w:pPr>
        <w:spacing w:after="0"/>
        <w:ind w:firstLine="709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Согласно всем трем </w:t>
      </w:r>
      <w:r w:rsidR="00F319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сценари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ям</w:t>
      </w:r>
      <w:r w:rsidR="00F319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прогноза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на российский автомобильный рынок оказали негативное влияние следующие факторы</w:t>
      </w:r>
      <w:r w:rsidR="00632E17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</w:p>
    <w:p w14:paraId="1429D746" w14:textId="6C12C933" w:rsidR="00FB2190" w:rsidRPr="00CF1E74" w:rsidRDefault="00F31977" w:rsidP="00194E20">
      <w:pPr>
        <w:pStyle w:val="a5"/>
        <w:numPr>
          <w:ilvl w:val="0"/>
          <w:numId w:val="4"/>
        </w:numPr>
        <w:spacing w:after="0"/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Cs/>
          <w:color w:val="000000" w:themeColor="text1"/>
          <w:sz w:val="20"/>
          <w:szCs w:val="20"/>
        </w:rPr>
        <w:t>Санкции.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E810DE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После </w:t>
      </w:r>
      <w:r w:rsidR="00C9254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24 февраля 2022 г.</w:t>
      </w:r>
      <w:r w:rsidR="008B22A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C9254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против РФ были введены экономические санкции, которые затронули в том числе и автомобильный рынок. </w:t>
      </w:r>
      <w:r w:rsidR="008B22A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 </w:t>
      </w:r>
      <w:r w:rsidR="008B22AF">
        <w:rPr>
          <w:rFonts w:ascii="Arial" w:hAnsi="Arial" w:cs="Arial"/>
          <w:b w:val="0"/>
          <w:color w:val="000000" w:themeColor="text1"/>
          <w:sz w:val="20"/>
          <w:szCs w:val="20"/>
        </w:rPr>
        <w:t>частности, был запрещен</w:t>
      </w:r>
      <w:r w:rsidR="00C9254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ввоз микроэлектроники и комплектующих для автомобильной промышленности из стран, которые </w:t>
      </w:r>
      <w:r w:rsidR="00CA15F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ввели </w:t>
      </w:r>
      <w:r w:rsidR="00C9254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санкции.</w:t>
      </w:r>
      <w:r w:rsidR="00EB4846" w:rsidRPr="00CF1E74">
        <w:rPr>
          <w:sz w:val="20"/>
          <w:szCs w:val="20"/>
        </w:rPr>
        <w:t xml:space="preserve"> 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Российские заводы А</w:t>
      </w:r>
      <w:r w:rsidR="00D0278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втоВАЗ</w:t>
      </w:r>
      <w:r w:rsidR="0019099D" w:rsidRPr="0019099D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FB2190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на производственных площадках в Тольятти и Ижевске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 Renault</w:t>
      </w:r>
      <w:r w:rsidR="00D0278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г. Москва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 Hyundai-Kia</w:t>
      </w:r>
      <w:r w:rsidR="00AE164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г. Санкт-Петербург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 Nissan</w:t>
      </w:r>
      <w:r w:rsidR="00D02783" w:rsidRPr="00CF1E74">
        <w:rPr>
          <w:sz w:val="20"/>
          <w:szCs w:val="20"/>
        </w:rPr>
        <w:t xml:space="preserve"> </w:t>
      </w:r>
      <w:r w:rsidR="00D0278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в г. Москва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 Toyota</w:t>
      </w:r>
      <w:r w:rsidR="00D0278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г. Санкт-Петербург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 «Автотор»</w:t>
      </w:r>
      <w:r w:rsidR="00D0278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г. Калининград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 «Мазда Соллерс»</w:t>
      </w:r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во Владивостоке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 «ПСМА РУС»</w:t>
      </w:r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Калужской </w:t>
      </w:r>
      <w:proofErr w:type="spellStart"/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оласти</w:t>
      </w:r>
      <w:proofErr w:type="spellEnd"/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proofErr w:type="spellStart"/>
      <w:r w:rsidR="00E827D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Volkswagen</w:t>
      </w:r>
      <w:proofErr w:type="spellEnd"/>
      <w:r w:rsidR="00E827D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E827D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Group</w:t>
      </w:r>
      <w:proofErr w:type="spellEnd"/>
      <w:r w:rsidR="00E827D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E827D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Rus</w:t>
      </w:r>
      <w:proofErr w:type="spellEnd"/>
      <w:r w:rsidR="00E827D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на площад</w:t>
      </w:r>
      <w:r w:rsidR="00E827D7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ках в Калуге и Нижнем Новгороде, 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УАЗ</w:t>
      </w:r>
      <w:r w:rsidR="00EB4846" w:rsidRPr="00FB414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 ряд других предприятий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597D0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конц</w:t>
      </w:r>
      <w:r w:rsidR="00597D0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а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февраля - начал</w:t>
      </w:r>
      <w:r w:rsidR="000C41C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а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марта были вынуждены</w:t>
      </w:r>
      <w:r w:rsidR="00EB4846" w:rsidRPr="00CA15F4">
        <w:rPr>
          <w:rFonts w:ascii="Arial" w:hAnsi="Arial" w:cs="Arial"/>
          <w:b w:val="0"/>
          <w:sz w:val="20"/>
          <w:szCs w:val="20"/>
        </w:rPr>
        <w:t xml:space="preserve"> </w:t>
      </w:r>
      <w:r w:rsidR="00EB4846" w:rsidRPr="003F5D87">
        <w:rPr>
          <w:rFonts w:ascii="Arial" w:hAnsi="Arial" w:cs="Arial"/>
          <w:b w:val="0"/>
          <w:color w:val="000000" w:themeColor="text1"/>
          <w:sz w:val="20"/>
          <w:szCs w:val="20"/>
        </w:rPr>
        <w:t>приостан</w:t>
      </w:r>
      <w:r w:rsidR="003F5D87" w:rsidRPr="003F5D87">
        <w:rPr>
          <w:rFonts w:ascii="Arial" w:hAnsi="Arial" w:cs="Arial"/>
          <w:b w:val="0"/>
          <w:color w:val="000000" w:themeColor="text1"/>
          <w:sz w:val="20"/>
          <w:szCs w:val="20"/>
        </w:rPr>
        <w:t>авливать</w:t>
      </w:r>
      <w:r w:rsidR="00EB4846" w:rsidRPr="00CA15F4">
        <w:rPr>
          <w:rFonts w:ascii="Arial" w:hAnsi="Arial" w:cs="Arial"/>
          <w:b w:val="0"/>
          <w:sz w:val="20"/>
          <w:szCs w:val="20"/>
        </w:rPr>
        <w:t xml:space="preserve"> 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свое производство</w:t>
      </w:r>
      <w:r w:rsidR="00EB4846" w:rsidRPr="00CF1E74">
        <w:rPr>
          <w:sz w:val="20"/>
          <w:szCs w:val="20"/>
        </w:rPr>
        <w:t xml:space="preserve"> </w:t>
      </w:r>
      <w:r w:rsidR="00EB484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 связи с перебоями в поставках комплектующих. </w:t>
      </w:r>
      <w:r w:rsidR="003F5D87" w:rsidRPr="003F5D87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Начиная с </w:t>
      </w:r>
      <w:r w:rsidR="0098198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6 </w:t>
      </w:r>
      <w:r w:rsidR="003F5D87" w:rsidRPr="003F5D87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июня 2022 г. АвтоВАЗ планирует </w:t>
      </w:r>
      <w:r w:rsidR="008E2BE6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перейти </w:t>
      </w:r>
      <w:proofErr w:type="gramStart"/>
      <w:r w:rsidR="008E2BE6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на </w:t>
      </w:r>
      <w:r w:rsidR="008E2BE6" w:rsidRPr="008E2BE6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4</w:t>
      </w:r>
      <w:proofErr w:type="gramEnd"/>
      <w:r w:rsidR="008E2BE6" w:rsidRPr="008E2BE6">
        <w:rPr>
          <w:rFonts w:ascii="Arial" w:hAnsi="Arial" w:cs="Arial"/>
          <w:b w:val="0"/>
          <w:color w:val="000000" w:themeColor="text1"/>
          <w:sz w:val="20"/>
          <w:szCs w:val="20"/>
        </w:rPr>
        <w:t>-дневную рабочую неделю.</w:t>
      </w:r>
    </w:p>
    <w:p w14:paraId="207F9EA7" w14:textId="33873056" w:rsidR="009C4EC1" w:rsidRPr="00CF1E74" w:rsidRDefault="008B22AF" w:rsidP="009C4EC1">
      <w:pPr>
        <w:pStyle w:val="a5"/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Кроме остановки</w:t>
      </w:r>
      <w:r w:rsidR="00FB2190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производства</w:t>
      </w:r>
      <w:r w:rsidR="003F5D87">
        <w:rPr>
          <w:rFonts w:ascii="Arial" w:hAnsi="Arial" w:cs="Arial"/>
          <w:b w:val="0"/>
          <w:color w:val="000000" w:themeColor="text1"/>
          <w:sz w:val="20"/>
          <w:szCs w:val="20"/>
        </w:rPr>
        <w:t>,</w:t>
      </w:r>
      <w:r w:rsidR="00FB2190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многие </w:t>
      </w:r>
      <w:r w:rsidR="006C5F7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зарубежные </w:t>
      </w:r>
      <w:r w:rsidR="00FB2190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автомобильные бренды </w:t>
      </w:r>
      <w:r w:rsidR="00FB2190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>(</w:t>
      </w:r>
      <w:r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Nissan</w:t>
      </w:r>
      <w:r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Toyota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Mitsubishi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FB2190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Volkswagen</w:t>
      </w:r>
      <w:r w:rsidR="00FB2190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Mazda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="00FB2190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Skoda</w:t>
      </w:r>
      <w:r w:rsidR="00FB2190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>,</w:t>
      </w:r>
      <w:r w:rsidR="006C5F7A" w:rsidRPr="00074928">
        <w:rPr>
          <w:color w:val="000000" w:themeColor="text1"/>
          <w:sz w:val="20"/>
          <w:szCs w:val="20"/>
        </w:rPr>
        <w:t xml:space="preserve"> 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BMW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Mercedes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>-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benz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Audi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Jaguar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Land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Rover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Lexus</w:t>
      </w:r>
      <w:r w:rsidR="006C5F7A" w:rsidRPr="0007492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 др.)</w:t>
      </w:r>
      <w:r w:rsidR="006C5F7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временно прекратили поставки </w:t>
      </w:r>
      <w:r w:rsidR="007B7622" w:rsidRPr="003F5D87">
        <w:rPr>
          <w:rFonts w:ascii="Arial" w:hAnsi="Arial" w:cs="Arial"/>
          <w:b w:val="0"/>
          <w:color w:val="000000" w:themeColor="text1"/>
          <w:sz w:val="20"/>
          <w:szCs w:val="20"/>
        </w:rPr>
        <w:t>импортируемых</w:t>
      </w:r>
      <w:r w:rsidR="006C5F7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автомобилей в РФ</w:t>
      </w:r>
      <w:r w:rsidR="009254F2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. </w:t>
      </w:r>
    </w:p>
    <w:p w14:paraId="16DC7195" w14:textId="77777777" w:rsidR="009E2A65" w:rsidRDefault="009C4EC1" w:rsidP="00B3194F">
      <w:pPr>
        <w:pStyle w:val="a5"/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В середине марта Европейским союзом</w:t>
      </w:r>
      <w:r w:rsidR="00B3194F">
        <w:rPr>
          <w:rFonts w:ascii="Arial" w:hAnsi="Arial" w:cs="Arial"/>
          <w:b w:val="0"/>
          <w:color w:val="000000" w:themeColor="text1"/>
          <w:sz w:val="20"/>
          <w:szCs w:val="20"/>
        </w:rPr>
        <w:t>, США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было введено эмбарго на пост</w:t>
      </w:r>
      <w:r w:rsidR="00B3194F">
        <w:rPr>
          <w:rFonts w:ascii="Arial" w:hAnsi="Arial" w:cs="Arial"/>
          <w:b w:val="0"/>
          <w:color w:val="000000" w:themeColor="text1"/>
          <w:sz w:val="20"/>
          <w:szCs w:val="20"/>
        </w:rPr>
        <w:t>авки в Россию предметов роскоши, в том числе дорогих автомобилей.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B3194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 начале апреля подобное эмбарго было ведено в Японии. </w:t>
      </w:r>
    </w:p>
    <w:p w14:paraId="47005AD1" w14:textId="0369C875" w:rsidR="004F04A1" w:rsidRDefault="009E2A65" w:rsidP="00B3194F">
      <w:pPr>
        <w:pStyle w:val="a5"/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F04A1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proofErr w:type="spellStart"/>
      <w:r w:rsidR="004F04A1" w:rsidRPr="004F04A1">
        <w:rPr>
          <w:rFonts w:ascii="Arial" w:hAnsi="Arial" w:cs="Arial"/>
          <w:color w:val="000000" w:themeColor="text1"/>
          <w:sz w:val="20"/>
          <w:szCs w:val="20"/>
        </w:rPr>
        <w:t>Локдауны</w:t>
      </w:r>
      <w:proofErr w:type="spellEnd"/>
      <w:r w:rsidR="004F04A1" w:rsidRPr="004F04A1">
        <w:rPr>
          <w:rFonts w:ascii="Arial" w:hAnsi="Arial" w:cs="Arial"/>
          <w:color w:val="000000" w:themeColor="text1"/>
          <w:sz w:val="20"/>
          <w:szCs w:val="20"/>
        </w:rPr>
        <w:t xml:space="preserve"> из-за  COVID-19 в Китае</w:t>
      </w:r>
      <w:r w:rsidR="004F04A1" w:rsidRPr="004F04A1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. Ограничения в связи с пандемией COVID-19 в Китае в течение 2022 г. могут привести к перебоям поставок комплектующих для российского завода </w:t>
      </w:r>
      <w:proofErr w:type="spellStart"/>
      <w:r w:rsidR="004F04A1" w:rsidRPr="004F04A1">
        <w:rPr>
          <w:rFonts w:ascii="Arial" w:hAnsi="Arial" w:cs="Arial"/>
          <w:b w:val="0"/>
          <w:color w:val="000000" w:themeColor="text1"/>
          <w:sz w:val="20"/>
          <w:szCs w:val="20"/>
        </w:rPr>
        <w:t>Haval</w:t>
      </w:r>
      <w:proofErr w:type="spellEnd"/>
      <w:r w:rsidR="004F04A1" w:rsidRPr="004F04A1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 других производителей на территории РФ, использующих автокомпоненты китайского производства, сокращению импорта китайских автомобилей в Россию. Все это приведет к новым простоям производства и увеличению дефицита автомобилей на российском рынке.</w:t>
      </w:r>
    </w:p>
    <w:p w14:paraId="724C8DB4" w14:textId="58981A23" w:rsidR="009F301A" w:rsidRPr="00CF1E74" w:rsidRDefault="004F04A1" w:rsidP="00B3194F">
      <w:pPr>
        <w:pStyle w:val="a5"/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3. </w:t>
      </w:r>
      <w:r w:rsidR="00B331A5" w:rsidRPr="00CF1E74">
        <w:rPr>
          <w:rFonts w:ascii="Arial" w:hAnsi="Arial" w:cs="Arial"/>
          <w:bCs/>
          <w:color w:val="000000" w:themeColor="text1"/>
          <w:sz w:val="20"/>
          <w:szCs w:val="20"/>
        </w:rPr>
        <w:t>Ухудшение макроэкономической ситуации в России</w:t>
      </w:r>
      <w:r w:rsidR="009B5B44" w:rsidRPr="00FB414C">
        <w:rPr>
          <w:rFonts w:ascii="Arial" w:hAnsi="Arial" w:cs="Arial"/>
          <w:bCs/>
          <w:color w:val="000000" w:themeColor="text1"/>
          <w:sz w:val="20"/>
          <w:szCs w:val="20"/>
        </w:rPr>
        <w:t>.</w:t>
      </w:r>
      <w:r w:rsidR="009B5B44" w:rsidRPr="00FB414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9B5B44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Санкции оказали негативное влияние на макроэкономические показатели.</w:t>
      </w:r>
      <w:r w:rsidR="009B5B44" w:rsidRPr="00CF1E74">
        <w:rPr>
          <w:sz w:val="20"/>
          <w:szCs w:val="20"/>
        </w:rPr>
        <w:t xml:space="preserve"> </w:t>
      </w:r>
      <w:r w:rsidR="008F7B4D" w:rsidRPr="00CF1E74">
        <w:rPr>
          <w:b w:val="0"/>
          <w:bCs/>
          <w:color w:val="auto"/>
          <w:sz w:val="20"/>
          <w:szCs w:val="20"/>
        </w:rPr>
        <w:t>По</w:t>
      </w:r>
      <w:r w:rsidR="007E1681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прогнозам ЦБ </w:t>
      </w:r>
      <w:r w:rsidR="00194E20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российский ВВП</w:t>
      </w:r>
      <w:r w:rsidR="007E1681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2022г. может сократится на 8-10%. </w:t>
      </w:r>
    </w:p>
    <w:p w14:paraId="01D4B3D6" w14:textId="34F848BB" w:rsidR="007E1681" w:rsidRPr="00CF1E74" w:rsidRDefault="009B5B44" w:rsidP="009F301A">
      <w:pPr>
        <w:pStyle w:val="a5"/>
        <w:ind w:left="0" w:firstLine="567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Темп инфляции в РФ в апреле 2022 г., по данным Росстата, составил 17,8%. </w:t>
      </w:r>
      <w:r w:rsidR="007E1681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По </w:t>
      </w:r>
      <w:r w:rsidR="00194E20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итогам 2022</w:t>
      </w:r>
      <w:r w:rsidR="007E1681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г.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Минэкономразвития РФ прогнозирует инфляцию на уровне 17,5%</w:t>
      </w:r>
      <w:r w:rsidR="008F7B4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. Рост инфляции прив</w:t>
      </w:r>
      <w:r w:rsidR="00314FE2">
        <w:rPr>
          <w:rFonts w:ascii="Arial" w:hAnsi="Arial" w:cs="Arial"/>
          <w:b w:val="0"/>
          <w:color w:val="000000" w:themeColor="text1"/>
          <w:sz w:val="20"/>
          <w:szCs w:val="20"/>
        </w:rPr>
        <w:t>оди</w:t>
      </w:r>
      <w:r w:rsidR="008F7B4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т к снижению реальных доходов населения и падению совокупного спроса в экономике. </w:t>
      </w:r>
      <w:r w:rsidR="00A40A1D">
        <w:rPr>
          <w:rFonts w:ascii="Arial" w:hAnsi="Arial" w:cs="Arial"/>
          <w:b w:val="0"/>
          <w:color w:val="000000" w:themeColor="text1"/>
          <w:sz w:val="20"/>
          <w:szCs w:val="20"/>
        </w:rPr>
        <w:t>Часть п</w:t>
      </w:r>
      <w:r w:rsidR="008F7B4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окупател</w:t>
      </w:r>
      <w:r w:rsidR="00A40A1D">
        <w:rPr>
          <w:rFonts w:ascii="Arial" w:hAnsi="Arial" w:cs="Arial"/>
          <w:b w:val="0"/>
          <w:color w:val="000000" w:themeColor="text1"/>
          <w:sz w:val="20"/>
          <w:szCs w:val="20"/>
        </w:rPr>
        <w:t>ей</w:t>
      </w:r>
      <w:r w:rsidR="008F7B4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отложат крупные покупки (вклю</w:t>
      </w:r>
      <w:r w:rsidR="007E1681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ч</w:t>
      </w:r>
      <w:r w:rsidR="008F7B4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ая приобретение автомобиля).</w:t>
      </w:r>
      <w:r w:rsidR="007E1681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</w:p>
    <w:p w14:paraId="12336D76" w14:textId="77777777" w:rsidR="006169AE" w:rsidRDefault="007E1681" w:rsidP="006169AE">
      <w:pPr>
        <w:pStyle w:val="a5"/>
        <w:ind w:left="0" w:firstLine="567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Негативно скажется на автомобильном рынке подорожание автокредитов</w:t>
      </w:r>
      <w:r w:rsidR="0066430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в связи с увеличением ключевой ставки Банка России</w:t>
      </w:r>
      <w:r w:rsidR="00B234D5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по сравнению с 2021 годом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. С 29 апреля 2022</w:t>
      </w:r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г.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данная ставка составляет 14%</w:t>
      </w:r>
      <w:r w:rsidR="009F301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="009F301A" w:rsidRPr="00CF1E74">
        <w:rPr>
          <w:sz w:val="20"/>
          <w:szCs w:val="20"/>
        </w:rPr>
        <w:t xml:space="preserve"> </w:t>
      </w:r>
      <w:r w:rsidR="009F301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По </w:t>
      </w:r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информации</w:t>
      </w:r>
      <w:r w:rsidR="009F301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Национально</w:t>
      </w:r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го</w:t>
      </w:r>
      <w:r w:rsidR="009F301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бюро кредитных историй (НБКИ), в апреле 2022 г</w:t>
      </w:r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="009F301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России было выдано 20,8 тыс. автокредитов, что на 80,7% меньше чем в апреле 2021 г.</w:t>
      </w:r>
      <w:r w:rsidR="0066430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194E20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Одновременно с</w:t>
      </w:r>
      <w:r w:rsidR="0066430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автокредитами подорожал и автомобильный лизинг, что негативно </w:t>
      </w:r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отразилось</w:t>
      </w:r>
      <w:r w:rsidR="0066430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на покупк</w:t>
      </w:r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ах</w:t>
      </w:r>
      <w:r w:rsidR="0066430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автомобилей </w:t>
      </w:r>
      <w:r w:rsidR="00194E20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юридическими</w:t>
      </w:r>
      <w:r w:rsidR="006169AE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лицами. </w:t>
      </w:r>
    </w:p>
    <w:p w14:paraId="41EF1F17" w14:textId="6275398A" w:rsidR="009F301A" w:rsidRPr="00CF1E74" w:rsidRDefault="00B4130B" w:rsidP="006169AE">
      <w:pPr>
        <w:pStyle w:val="a5"/>
        <w:ind w:left="0" w:firstLine="567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B4130B">
        <w:rPr>
          <w:rFonts w:ascii="Arial" w:hAnsi="Arial" w:cs="Arial"/>
          <w:color w:val="000000" w:themeColor="text1"/>
          <w:sz w:val="20"/>
          <w:szCs w:val="20"/>
        </w:rPr>
        <w:t>4</w:t>
      </w:r>
      <w:r w:rsidR="006169AE" w:rsidRPr="00B4130B">
        <w:rPr>
          <w:rFonts w:ascii="Arial" w:hAnsi="Arial" w:cs="Arial"/>
          <w:color w:val="000000" w:themeColor="text1"/>
          <w:sz w:val="20"/>
          <w:szCs w:val="20"/>
        </w:rPr>
        <w:t>.</w:t>
      </w:r>
      <w:r w:rsidR="006169AE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9F301A" w:rsidRPr="00CF1E74">
        <w:rPr>
          <w:rFonts w:ascii="Arial" w:hAnsi="Arial" w:cs="Arial"/>
          <w:bCs/>
          <w:color w:val="000000" w:themeColor="text1"/>
          <w:sz w:val="20"/>
          <w:szCs w:val="20"/>
        </w:rPr>
        <w:t xml:space="preserve">Рост цен на </w:t>
      </w:r>
      <w:r w:rsidR="008838FB" w:rsidRPr="00CF1E74">
        <w:rPr>
          <w:rFonts w:ascii="Arial" w:hAnsi="Arial" w:cs="Arial"/>
          <w:bCs/>
          <w:color w:val="000000" w:themeColor="text1"/>
          <w:sz w:val="20"/>
          <w:szCs w:val="20"/>
        </w:rPr>
        <w:t xml:space="preserve">новые </w:t>
      </w:r>
      <w:r w:rsidR="009F301A" w:rsidRPr="00CF1E74">
        <w:rPr>
          <w:rFonts w:ascii="Arial" w:hAnsi="Arial" w:cs="Arial"/>
          <w:bCs/>
          <w:color w:val="000000" w:themeColor="text1"/>
          <w:sz w:val="20"/>
          <w:szCs w:val="20"/>
        </w:rPr>
        <w:t>автомобили.</w:t>
      </w:r>
      <w:r w:rsidR="009F301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связи с усложнением логистических цепочек</w:t>
      </w:r>
      <w:r w:rsidR="008838FB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поставо</w:t>
      </w:r>
      <w:r w:rsidR="00815C0C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к и</w:t>
      </w:r>
      <w:r w:rsidR="008838FB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дефицитом комплектующих</w:t>
      </w:r>
      <w:r w:rsidR="007F67F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для их производства</w:t>
      </w:r>
      <w:r w:rsidR="000B5F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</w:t>
      </w:r>
      <w:r w:rsidR="008838FB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происх</w:t>
      </w:r>
      <w:r w:rsidR="00815C0C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одит существенный рост цен на новые легковые автомобили. На фоне падающих реальных доходов населения это приведет к дальнейшему падению спроса на рынке новых легковых автомобилей.</w:t>
      </w:r>
    </w:p>
    <w:p w14:paraId="08097DE4" w14:textId="462D52A0" w:rsidR="00073FC9" w:rsidRPr="00CF1E74" w:rsidRDefault="00B4130B" w:rsidP="00CC5E5D">
      <w:pPr>
        <w:pStyle w:val="a5"/>
        <w:ind w:left="0" w:firstLine="567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5. </w:t>
      </w:r>
      <w:r w:rsidR="00073FC9" w:rsidRPr="00CF1E74">
        <w:rPr>
          <w:rFonts w:ascii="Arial" w:hAnsi="Arial" w:cs="Arial"/>
          <w:bCs/>
          <w:color w:val="000000" w:themeColor="text1"/>
          <w:sz w:val="20"/>
          <w:szCs w:val="20"/>
        </w:rPr>
        <w:t>Прекращение действия государственных программ.</w:t>
      </w:r>
      <w:r w:rsidR="00073FC9" w:rsidRPr="00CF1E74">
        <w:rPr>
          <w:sz w:val="20"/>
          <w:szCs w:val="20"/>
        </w:rPr>
        <w:t xml:space="preserve"> </w:t>
      </w:r>
      <w:r w:rsidR="00073FC9" w:rsidRPr="00CF1E74">
        <w:rPr>
          <w:rFonts w:ascii="Arial" w:hAnsi="Arial" w:cs="Arial"/>
          <w:b w:val="0"/>
          <w:bCs/>
          <w:color w:val="auto"/>
          <w:sz w:val="20"/>
          <w:szCs w:val="20"/>
        </w:rPr>
        <w:t>23 марта</w:t>
      </w:r>
      <w:r w:rsidR="00073FC9" w:rsidRPr="00CF1E74">
        <w:rPr>
          <w:color w:val="auto"/>
          <w:sz w:val="20"/>
          <w:szCs w:val="20"/>
        </w:rPr>
        <w:t xml:space="preserve"> </w:t>
      </w:r>
      <w:r w:rsidR="00073FC9" w:rsidRPr="00CF1E74">
        <w:rPr>
          <w:rFonts w:ascii="Arial" w:hAnsi="Arial" w:cs="Arial"/>
          <w:b w:val="0"/>
          <w:bCs/>
          <w:color w:val="auto"/>
          <w:sz w:val="20"/>
          <w:szCs w:val="20"/>
        </w:rPr>
        <w:t>2022 г. глава</w:t>
      </w:r>
      <w:r w:rsidR="00073FC9" w:rsidRPr="00CF1E74">
        <w:rPr>
          <w:rFonts w:ascii="Arial" w:hAnsi="Arial" w:cs="Arial"/>
          <w:color w:val="auto"/>
          <w:sz w:val="20"/>
          <w:szCs w:val="20"/>
        </w:rPr>
        <w:t xml:space="preserve"> </w:t>
      </w:r>
      <w:r w:rsidR="00073FC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Минпромторга</w:t>
      </w:r>
      <w:r w:rsidR="00194E20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РФ</w:t>
      </w:r>
      <w:r w:rsidR="00073FC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Денис Мантуров заявил, что правительство России не планирует перезапускать государственные программы льготного автокредитования и лизинга.</w:t>
      </w:r>
      <w:r w:rsidR="007F7E04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Учитывая, что данные программы существенно поддержали рынок в </w:t>
      </w:r>
      <w:r w:rsidR="00CF1E74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предыдущие годы</w:t>
      </w:r>
      <w:r w:rsidR="007F7E04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их прекращение станет </w:t>
      </w:r>
      <w:r w:rsidR="00194E20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дополнительным фактором,</w:t>
      </w:r>
      <w:r w:rsidR="007F7E04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способствующим снижению продаж новых легковых автомобилей.</w:t>
      </w:r>
    </w:p>
    <w:p w14:paraId="50047361" w14:textId="4A0D4439" w:rsidR="00CF1E74" w:rsidRDefault="00032345" w:rsidP="00CC5E5D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Cs/>
          <w:color w:val="000000" w:themeColor="text1"/>
          <w:sz w:val="20"/>
          <w:szCs w:val="20"/>
        </w:rPr>
        <w:t>Повышение</w:t>
      </w:r>
      <w:r w:rsidR="00D374CB">
        <w:rPr>
          <w:rFonts w:ascii="Arial" w:hAnsi="Arial" w:cs="Arial"/>
          <w:bCs/>
          <w:color w:val="000000" w:themeColor="text1"/>
          <w:sz w:val="20"/>
          <w:szCs w:val="20"/>
        </w:rPr>
        <w:t xml:space="preserve"> стоимости владения автомобилем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. </w:t>
      </w:r>
      <w:r w:rsidR="00D374CB">
        <w:rPr>
          <w:rFonts w:ascii="Arial" w:hAnsi="Arial" w:cs="Arial"/>
          <w:b w:val="0"/>
          <w:color w:val="000000" w:themeColor="text1"/>
          <w:sz w:val="20"/>
          <w:szCs w:val="20"/>
        </w:rPr>
        <w:t>В 2022 г. существенно выросли цены на запчасти, шины и т.д. Р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ост стоимости владения может негативно повлиять на принятие решений о покупке новых автомобилей в 2022 г. </w:t>
      </w:r>
    </w:p>
    <w:p w14:paraId="4FD19101" w14:textId="12B08AC0" w:rsidR="00CF1E74" w:rsidRPr="00E75258" w:rsidRDefault="00CF1E74" w:rsidP="00B4130B">
      <w:pPr>
        <w:pStyle w:val="a5"/>
        <w:numPr>
          <w:ilvl w:val="0"/>
          <w:numId w:val="6"/>
        </w:numPr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Cs/>
          <w:color w:val="000000" w:themeColor="text1"/>
          <w:sz w:val="20"/>
          <w:szCs w:val="20"/>
        </w:rPr>
        <w:t xml:space="preserve">Насыщенный рынок подержанных легковых автомобилей.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За последние несколько лет в РФ сформировался </w:t>
      </w:r>
      <w:r w:rsidR="004D5D73" w:rsidRPr="00D05C50">
        <w:rPr>
          <w:rFonts w:ascii="Arial" w:hAnsi="Arial" w:cs="Arial"/>
          <w:b w:val="0"/>
          <w:color w:val="000000" w:themeColor="text1"/>
          <w:sz w:val="20"/>
          <w:szCs w:val="20"/>
        </w:rPr>
        <w:t>разнообразный</w:t>
      </w:r>
      <w:r w:rsidRPr="00D05C50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парк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подержанной техники. В период кризиса </w:t>
      </w:r>
      <w:r w:rsidR="004D5D73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часть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потребител</w:t>
      </w:r>
      <w:r w:rsidR="004D5D73">
        <w:rPr>
          <w:rFonts w:ascii="Arial" w:hAnsi="Arial" w:cs="Arial"/>
          <w:b w:val="0"/>
          <w:color w:val="000000" w:themeColor="text1"/>
          <w:sz w:val="20"/>
          <w:szCs w:val="20"/>
        </w:rPr>
        <w:t>ей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переключатся с покупки новых автомобилей на приобретение подержанных, в том числе завезенных по </w:t>
      </w:r>
      <w:r w:rsidRPr="00E7525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«серому» импорту. При этом количество </w:t>
      </w:r>
      <w:r w:rsidR="00854430" w:rsidRPr="00E7525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предложений </w:t>
      </w:r>
      <w:r w:rsidRPr="00E7525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подержанных автомобилей на рынке </w:t>
      </w:r>
      <w:r w:rsidR="00D05C50" w:rsidRPr="00E75258">
        <w:rPr>
          <w:rFonts w:ascii="Arial" w:hAnsi="Arial" w:cs="Arial"/>
          <w:b w:val="0"/>
          <w:color w:val="000000" w:themeColor="text1"/>
          <w:sz w:val="20"/>
          <w:szCs w:val="20"/>
        </w:rPr>
        <w:t>может</w:t>
      </w:r>
      <w:r w:rsidRPr="00E7525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постепенно сокращаться, так как после продажи </w:t>
      </w:r>
      <w:r w:rsidR="00D05C50" w:rsidRPr="00E7525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подержанного </w:t>
      </w:r>
      <w:r w:rsidRPr="00E7525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автомобиля</w:t>
      </w:r>
      <w:r w:rsidR="00D05C50" w:rsidRPr="00E75258">
        <w:rPr>
          <w:rFonts w:ascii="Arial" w:hAnsi="Arial" w:cs="Arial"/>
          <w:b w:val="0"/>
          <w:color w:val="000000" w:themeColor="text1"/>
          <w:sz w:val="20"/>
          <w:szCs w:val="20"/>
        </w:rPr>
        <w:t>, его бывшему владельцу</w:t>
      </w:r>
      <w:r w:rsidRPr="00E7525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станет </w:t>
      </w:r>
      <w:r w:rsidR="00D05C50" w:rsidRPr="00E75258">
        <w:rPr>
          <w:rFonts w:ascii="Arial" w:hAnsi="Arial" w:cs="Arial"/>
          <w:b w:val="0"/>
          <w:color w:val="000000" w:themeColor="text1"/>
          <w:sz w:val="20"/>
          <w:szCs w:val="20"/>
        </w:rPr>
        <w:t>проблематично приобрести новый</w:t>
      </w:r>
      <w:r w:rsidRPr="00E75258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</w:p>
    <w:p w14:paraId="2AAE9306" w14:textId="77777777" w:rsidR="002C1760" w:rsidRPr="00CF1E74" w:rsidRDefault="002C1760" w:rsidP="002C1760">
      <w:pPr>
        <w:pStyle w:val="a5"/>
        <w:ind w:left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</w:p>
    <w:p w14:paraId="418792EA" w14:textId="359E4CB8" w:rsidR="00E13592" w:rsidRPr="00CF1E74" w:rsidRDefault="00B53D02" w:rsidP="00907EBB">
      <w:pPr>
        <w:pStyle w:val="a5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color w:val="000000" w:themeColor="text1"/>
          <w:sz w:val="20"/>
          <w:szCs w:val="20"/>
        </w:rPr>
        <w:t>Тем не менее, с</w:t>
      </w:r>
      <w:r w:rsidR="00E13592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уществу</w:t>
      </w:r>
      <w:r w:rsidR="00907EBB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ю</w:t>
      </w:r>
      <w:r w:rsidR="00E13592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т фактор</w:t>
      </w:r>
      <w:r w:rsidR="00907EBB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ы</w:t>
      </w:r>
      <w:r w:rsidR="00E13592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 позволяющи</w:t>
      </w:r>
      <w:r w:rsidR="00907EBB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е</w:t>
      </w:r>
      <w:r w:rsidR="00E13592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сгладить негативные тенденции на рынке новых легковых автомобилей</w:t>
      </w:r>
      <w:r w:rsidR="00597C77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907EBB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 2022 </w:t>
      </w:r>
      <w:r w:rsidR="008B22A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г.</w:t>
      </w:r>
    </w:p>
    <w:p w14:paraId="3029B077" w14:textId="00C8C2E0" w:rsidR="00F5003D" w:rsidRPr="00CF1E74" w:rsidRDefault="00E13592" w:rsidP="00907EBB">
      <w:pPr>
        <w:pStyle w:val="a5"/>
        <w:numPr>
          <w:ilvl w:val="0"/>
          <w:numId w:val="5"/>
        </w:numPr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Cs/>
          <w:color w:val="000000" w:themeColor="text1"/>
          <w:sz w:val="20"/>
          <w:szCs w:val="20"/>
        </w:rPr>
        <w:t>Легализация параллельного импорта.</w:t>
      </w:r>
      <w:r w:rsidRPr="00CF1E74">
        <w:rPr>
          <w:sz w:val="20"/>
          <w:szCs w:val="20"/>
        </w:rPr>
        <w:t xml:space="preserve"> </w:t>
      </w:r>
      <w:r w:rsidR="009C4EC1" w:rsidRPr="00CF1E74">
        <w:rPr>
          <w:rFonts w:ascii="Arial" w:hAnsi="Arial" w:cs="Arial"/>
          <w:b w:val="0"/>
          <w:bCs/>
          <w:color w:val="auto"/>
          <w:sz w:val="20"/>
          <w:szCs w:val="20"/>
        </w:rPr>
        <w:t>6 мая</w:t>
      </w:r>
      <w:r w:rsidR="009C4EC1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2022 г.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Минпромторг России опубликовал перечень </w:t>
      </w:r>
      <w:r w:rsidR="009C4EC1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автомобилей и запчастей </w:t>
      </w:r>
      <w:r w:rsidR="00F5003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доступных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для параллельного импорта, без разрешения правообладателя. </w:t>
      </w:r>
      <w:r w:rsidR="009C4EC1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В пере</w:t>
      </w:r>
      <w:r w:rsidR="00CF1E74">
        <w:rPr>
          <w:rFonts w:ascii="Arial" w:hAnsi="Arial" w:cs="Arial"/>
          <w:b w:val="0"/>
          <w:color w:val="000000" w:themeColor="text1"/>
          <w:sz w:val="20"/>
          <w:szCs w:val="20"/>
        </w:rPr>
        <w:t>ч</w:t>
      </w:r>
      <w:r w:rsidR="009C4EC1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ень разрешенных брендов попали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Land Rover, Jaguar, Bentley, Hummer, Tesla, Mercedes-Benz, Maybach, Lexus, Infiniti, Lamborghini, Ferrari, Aston Martin, Porsche, Rolls-Royce, Maserati, Bugatti</w:t>
      </w:r>
      <w:r w:rsidR="00F5003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Toyota, Volkswagen, Skoda, BMW, Renault, Audi, MINI и Nissan</w:t>
      </w:r>
      <w:r w:rsidR="00F5003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. </w:t>
      </w:r>
      <w:r w:rsidR="000D57A7">
        <w:rPr>
          <w:rFonts w:ascii="Arial" w:hAnsi="Arial" w:cs="Arial"/>
          <w:b w:val="0"/>
          <w:color w:val="000000" w:themeColor="text1"/>
          <w:sz w:val="20"/>
          <w:szCs w:val="20"/>
        </w:rPr>
        <w:t>Параллельный</w:t>
      </w:r>
      <w:r w:rsidR="00F5003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импорт обеспечит приток иностранных автомобилей на российский рынок, однако</w:t>
      </w:r>
      <w:r w:rsidR="00CF1E74">
        <w:rPr>
          <w:rFonts w:ascii="Arial" w:hAnsi="Arial" w:cs="Arial"/>
          <w:b w:val="0"/>
          <w:color w:val="000000" w:themeColor="text1"/>
          <w:sz w:val="20"/>
          <w:szCs w:val="20"/>
        </w:rPr>
        <w:t>,</w:t>
      </w:r>
      <w:r w:rsidR="00F5003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связи с логистическими сложностями объемы поставок </w:t>
      </w:r>
      <w:r w:rsidR="00F15B07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 текущем году </w:t>
      </w:r>
      <w:r w:rsidR="00F5003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будут невысокими и не </w:t>
      </w:r>
      <w:r w:rsidR="00F15B07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приведут к </w:t>
      </w:r>
      <w:r w:rsidR="00CC5E5D">
        <w:rPr>
          <w:rFonts w:ascii="Arial" w:hAnsi="Arial" w:cs="Arial"/>
          <w:b w:val="0"/>
          <w:color w:val="000000" w:themeColor="text1"/>
          <w:sz w:val="20"/>
          <w:szCs w:val="20"/>
        </w:rPr>
        <w:t>существенному</w:t>
      </w:r>
      <w:r w:rsidR="00F5003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рост</w:t>
      </w:r>
      <w:r w:rsidR="00907EBB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у</w:t>
      </w:r>
      <w:r w:rsidR="00F5003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рынка.</w:t>
      </w:r>
    </w:p>
    <w:p w14:paraId="2975B7BA" w14:textId="319F8FE7" w:rsidR="00C2035C" w:rsidRDefault="00AA72F4" w:rsidP="00C2035C">
      <w:pPr>
        <w:pStyle w:val="a5"/>
        <w:numPr>
          <w:ilvl w:val="0"/>
          <w:numId w:val="5"/>
        </w:numPr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Сохранение</w:t>
      </w:r>
      <w:r w:rsidRPr="00AA72F4">
        <w:rPr>
          <w:rFonts w:ascii="Arial" w:hAnsi="Arial" w:cs="Arial"/>
          <w:bCs/>
          <w:color w:val="000000" w:themeColor="text1"/>
          <w:sz w:val="20"/>
          <w:szCs w:val="20"/>
        </w:rPr>
        <w:t xml:space="preserve"> российских,</w:t>
      </w:r>
      <w:r w:rsidR="00CF1E74" w:rsidRPr="00AA72F4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F1E74" w:rsidRPr="006740CC">
        <w:rPr>
          <w:rFonts w:ascii="Arial" w:hAnsi="Arial" w:cs="Arial"/>
          <w:bCs/>
          <w:color w:val="000000" w:themeColor="text1"/>
          <w:sz w:val="20"/>
          <w:szCs w:val="20"/>
        </w:rPr>
        <w:t>южнокорейских</w:t>
      </w:r>
      <w:r w:rsidR="00CF1E74" w:rsidRPr="00AA72F4">
        <w:rPr>
          <w:rFonts w:ascii="Arial" w:hAnsi="Arial" w:cs="Arial"/>
          <w:bCs/>
          <w:color w:val="000000" w:themeColor="text1"/>
          <w:sz w:val="20"/>
          <w:szCs w:val="20"/>
        </w:rPr>
        <w:t xml:space="preserve"> и китайских брендов на рынке. </w:t>
      </w:r>
      <w:r w:rsidR="00F405A9" w:rsidRPr="006740CC">
        <w:rPr>
          <w:rFonts w:ascii="Arial" w:hAnsi="Arial" w:cs="Arial"/>
          <w:b w:val="0"/>
          <w:color w:val="000000" w:themeColor="text1"/>
          <w:sz w:val="20"/>
          <w:szCs w:val="20"/>
        </w:rPr>
        <w:t>Южнокорейские</w:t>
      </w:r>
      <w:r w:rsidR="00F405A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 китайские бренды </w:t>
      </w:r>
      <w:r w:rsidR="00CE3809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планируют  </w:t>
      </w:r>
      <w:r w:rsidR="00F405A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продолжат</w:t>
      </w:r>
      <w:r w:rsidR="00CE3809">
        <w:rPr>
          <w:rFonts w:ascii="Arial" w:hAnsi="Arial" w:cs="Arial"/>
          <w:b w:val="0"/>
          <w:color w:val="000000" w:themeColor="text1"/>
          <w:sz w:val="20"/>
          <w:szCs w:val="20"/>
        </w:rPr>
        <w:t>ь</w:t>
      </w:r>
      <w:r w:rsidR="00F405A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поставки и производство автомобилей в России. Несмотря на то, что они </w:t>
      </w:r>
      <w:r w:rsidR="00CE380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столкнулись</w:t>
      </w:r>
      <w:r w:rsidR="00F405A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с логистическими проблемами</w:t>
      </w:r>
      <w:r w:rsidR="00302B6B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F405A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при осуществлении импорта автомобилей</w:t>
      </w:r>
      <w:r w:rsidR="003141C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 комплектующих</w:t>
      </w:r>
      <w:r w:rsidR="00302B6B">
        <w:rPr>
          <w:rFonts w:ascii="Arial" w:hAnsi="Arial" w:cs="Arial"/>
          <w:b w:val="0"/>
          <w:color w:val="000000" w:themeColor="text1"/>
          <w:sz w:val="20"/>
          <w:szCs w:val="20"/>
        </w:rPr>
        <w:t>,</w:t>
      </w:r>
      <w:r w:rsidR="003141C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эти компании </w:t>
      </w:r>
      <w:r w:rsidR="00CE3809">
        <w:rPr>
          <w:rFonts w:ascii="Arial" w:hAnsi="Arial" w:cs="Arial"/>
          <w:b w:val="0"/>
          <w:color w:val="000000" w:themeColor="text1"/>
          <w:sz w:val="20"/>
          <w:szCs w:val="20"/>
        </w:rPr>
        <w:t>намерены остаться</w:t>
      </w:r>
      <w:r w:rsidR="003141C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на российском рынке и осуществлять продажи</w:t>
      </w:r>
      <w:r w:rsidR="00F405A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="00C2035C" w:rsidRPr="00FB414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3141C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А</w:t>
      </w:r>
      <w:r>
        <w:rPr>
          <w:rFonts w:ascii="Arial" w:hAnsi="Arial" w:cs="Arial"/>
          <w:b w:val="0"/>
          <w:color w:val="000000" w:themeColor="text1"/>
          <w:sz w:val="20"/>
          <w:szCs w:val="20"/>
        </w:rPr>
        <w:t>вто</w:t>
      </w:r>
      <w:r w:rsidR="00C2035C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ВАЗ </w:t>
      </w:r>
      <w:r w:rsidR="003141C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планирует продолжить производство популярного автомобиля </w:t>
      </w:r>
      <w:r w:rsidR="003141CF" w:rsidRPr="00CF1E74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Renault</w:t>
      </w:r>
      <w:r w:rsidR="003141CF" w:rsidRPr="00FB414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3141CF" w:rsidRPr="00CF1E74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Duster</w:t>
      </w:r>
      <w:r w:rsidR="003141CF" w:rsidRPr="00FB414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3141C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под брендом </w:t>
      </w:r>
      <w:r w:rsidR="003141CF" w:rsidRPr="00CF1E74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LADA</w:t>
      </w:r>
      <w:r w:rsidR="003141CF" w:rsidRPr="00FB414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="006740C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и </w:t>
      </w:r>
      <w:r w:rsidR="003141CF" w:rsidRPr="007B7622">
        <w:rPr>
          <w:rFonts w:ascii="Arial" w:hAnsi="Arial" w:cs="Arial"/>
          <w:b w:val="0"/>
          <w:color w:val="000000" w:themeColor="text1"/>
          <w:sz w:val="20"/>
          <w:szCs w:val="20"/>
        </w:rPr>
        <w:t>сохранит</w:t>
      </w:r>
      <w:r w:rsidR="003141C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производство простых комплектаций </w:t>
      </w:r>
      <w:r w:rsidR="008B22AF" w:rsidRPr="007B7622">
        <w:rPr>
          <w:rFonts w:ascii="Arial" w:hAnsi="Arial" w:cs="Arial"/>
          <w:b w:val="0"/>
          <w:color w:val="auto"/>
          <w:sz w:val="20"/>
          <w:szCs w:val="20"/>
        </w:rPr>
        <w:t>автомобилей</w:t>
      </w:r>
      <w:r w:rsidR="003141CF" w:rsidRPr="007B7622">
        <w:rPr>
          <w:color w:val="auto"/>
          <w:sz w:val="20"/>
          <w:szCs w:val="20"/>
        </w:rPr>
        <w:t xml:space="preserve"> </w:t>
      </w:r>
      <w:r w:rsidR="007B7622" w:rsidRPr="00FC1477">
        <w:rPr>
          <w:rFonts w:ascii="Arial" w:hAnsi="Arial" w:cs="Arial"/>
          <w:b w:val="0"/>
          <w:color w:val="auto"/>
          <w:sz w:val="20"/>
          <w:szCs w:val="20"/>
        </w:rPr>
        <w:t>собственного модельного ряда</w:t>
      </w:r>
      <w:r w:rsidR="003141CF" w:rsidRPr="00FC1477">
        <w:rPr>
          <w:rFonts w:ascii="Arial" w:hAnsi="Arial" w:cs="Arial"/>
          <w:b w:val="0"/>
          <w:color w:val="auto"/>
          <w:sz w:val="20"/>
          <w:szCs w:val="20"/>
        </w:rPr>
        <w:t>.</w:t>
      </w:r>
      <w:r w:rsidR="00C2035C" w:rsidRPr="007B7622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C2035C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УАЗ продолжит собирать простые комплектации моделей автомобилей </w:t>
      </w:r>
      <w:r w:rsidR="00C2035C" w:rsidRPr="00CF1E74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Patriot</w:t>
      </w:r>
      <w:r w:rsidR="00C2035C" w:rsidRPr="00FB414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C2035C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и </w:t>
      </w:r>
      <w:r w:rsidR="00C2035C" w:rsidRPr="00CF1E74">
        <w:rPr>
          <w:rFonts w:ascii="Arial" w:hAnsi="Arial" w:cs="Arial"/>
          <w:b w:val="0"/>
          <w:color w:val="000000" w:themeColor="text1"/>
          <w:sz w:val="20"/>
          <w:szCs w:val="20"/>
          <w:lang w:val="en-US"/>
        </w:rPr>
        <w:t>Hunter</w:t>
      </w:r>
      <w:r w:rsidR="00C2035C" w:rsidRPr="00FB414C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</w:p>
    <w:p w14:paraId="0A3C127A" w14:textId="77777777" w:rsidR="002C1760" w:rsidRPr="00CF1E74" w:rsidRDefault="002C1760" w:rsidP="002C1760">
      <w:pPr>
        <w:pStyle w:val="a5"/>
        <w:ind w:left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</w:p>
    <w:p w14:paraId="02590CD3" w14:textId="2FBCF968" w:rsidR="00634444" w:rsidRPr="00CF1E74" w:rsidRDefault="00634444" w:rsidP="00BA581C">
      <w:pPr>
        <w:pStyle w:val="a5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Cs/>
          <w:color w:val="000000" w:themeColor="text1"/>
          <w:sz w:val="20"/>
          <w:szCs w:val="20"/>
        </w:rPr>
        <w:t>Базовый сценарий прогноза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предполагает, что санкции против РФ сохранятся до конца 2022 г. А</w:t>
      </w:r>
      <w:r w:rsidR="00AA72F4">
        <w:rPr>
          <w:rFonts w:ascii="Arial" w:hAnsi="Arial" w:cs="Arial"/>
          <w:b w:val="0"/>
          <w:color w:val="000000" w:themeColor="text1"/>
          <w:sz w:val="20"/>
          <w:szCs w:val="20"/>
        </w:rPr>
        <w:t>вто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ВАЗ </w:t>
      </w:r>
      <w:r w:rsidR="00AA72F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продолжит </w:t>
      </w:r>
      <w:r w:rsidR="00412C2C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производство простых комплектаций автомобилей и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начнет производство Renault Duster под брендом LADA в 4 квартале</w:t>
      </w:r>
      <w:r w:rsidR="00032345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2022 г.</w:t>
      </w:r>
      <w:r w:rsidR="0054039E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небольших объемах (до 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8</w:t>
      </w:r>
      <w:r w:rsidR="0054039E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00 автомобилей в м</w:t>
      </w:r>
      <w:r w:rsidR="00412C2C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е</w:t>
      </w:r>
      <w:r w:rsidR="0054039E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сяц).</w:t>
      </w:r>
      <w:r w:rsidR="00032345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Южнокорейские и китайские бренды во 2 полугодии 2022 г. смогут наладить логистические цепочки для поставок </w:t>
      </w:r>
      <w:r w:rsidR="0054039E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автомобилей и комплектующих в Россию</w:t>
      </w:r>
      <w:r w:rsidR="00412C2C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 сохранят объемы продаж на уровне или чуть ниже апрельских показателей</w:t>
      </w:r>
      <w:r w:rsidR="0054039E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. Легковые автомобили, поставки которых на территорию РФ запрещены, будут завозится в страну по </w:t>
      </w:r>
      <w:r w:rsidR="006B7E68">
        <w:rPr>
          <w:rFonts w:ascii="Arial" w:hAnsi="Arial" w:cs="Arial"/>
          <w:b w:val="0"/>
          <w:color w:val="000000" w:themeColor="text1"/>
          <w:sz w:val="20"/>
          <w:szCs w:val="20"/>
        </w:rPr>
        <w:t>параллельному</w:t>
      </w:r>
      <w:r w:rsidR="0054039E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импорту в небольших 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объемах</w:t>
      </w:r>
      <w:r w:rsidR="0054039E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. Российская экономика до конца 2022 г. будет находится в депрессивном состоянии, но без резких спадов.</w:t>
      </w:r>
    </w:p>
    <w:p w14:paraId="5258661E" w14:textId="77777777" w:rsidR="00AA72F4" w:rsidRDefault="00AA72F4" w:rsidP="00412C2C">
      <w:pPr>
        <w:pStyle w:val="a5"/>
        <w:ind w:left="0" w:firstLine="426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76F333F" w14:textId="52F0F1CA" w:rsidR="00412C2C" w:rsidRDefault="00412C2C" w:rsidP="00412C2C">
      <w:pPr>
        <w:pStyle w:val="a5"/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Cs/>
          <w:color w:val="000000" w:themeColor="text1"/>
          <w:sz w:val="20"/>
          <w:szCs w:val="20"/>
        </w:rPr>
        <w:t>Оптимистичный сценарий прогноза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предполагает, что санкции против РФ сохранятся до конца 2022 г.</w:t>
      </w:r>
      <w:r w:rsidR="009D123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, но будут постепенно смягчаться.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АВТОВАЗ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нарастит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производство простых комплектаций автомобилей и начнет 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выпуск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Renault Duster под брендом LADA в 4 квартале 2022 г. в 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существенных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объемах (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свыше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8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00 автомобилей в месяц). Южнокорейские и китайские бренды во 2 полугодии 2022 г. смогут наладить логистические цепочки для поставок автомобилей и комплектующих в Россию и 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немного нарастят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объемы продаж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 производства на территории РФ</w:t>
      </w:r>
      <w:r w:rsidR="00E9499B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по сравн</w:t>
      </w:r>
      <w:r w:rsidR="003041B1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ению с апрельскими результатами, 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хотя и не смогут выйти на показатели января – февраля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.  Легковые автомобили, поставки которых на территорию РФ запрещены, будут завозится в страну </w:t>
      </w:r>
      <w:r w:rsidR="00CC5E5D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по </w:t>
      </w:r>
      <w:r w:rsidR="00CC5E5D">
        <w:rPr>
          <w:rFonts w:ascii="Arial" w:hAnsi="Arial" w:cs="Arial"/>
          <w:b w:val="0"/>
          <w:color w:val="000000" w:themeColor="text1"/>
          <w:sz w:val="20"/>
          <w:szCs w:val="20"/>
        </w:rPr>
        <w:t>параллельному</w:t>
      </w:r>
      <w:r w:rsidR="008E6F7A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импорту в небольших </w:t>
      </w:r>
      <w:r w:rsidR="00145D6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объемах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. Российская экономика до конца 2022 г. будет находится в депрессивном состоянии,</w:t>
      </w:r>
      <w:r w:rsidR="009D123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но с улучшением ряда макроэкономических показателей </w:t>
      </w:r>
      <w:r w:rsidR="00E9499B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во второй половине года </w:t>
      </w:r>
      <w:r w:rsidR="009D1239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относительно марта-апреля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</w:p>
    <w:p w14:paraId="2C7E3D14" w14:textId="77777777" w:rsidR="00AA72F4" w:rsidRPr="00CF1E74" w:rsidRDefault="00AA72F4" w:rsidP="00412C2C">
      <w:pPr>
        <w:pStyle w:val="a5"/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</w:p>
    <w:p w14:paraId="2F0645D0" w14:textId="6E1C055E" w:rsidR="009D1239" w:rsidRPr="00CF1E74" w:rsidRDefault="009D1239" w:rsidP="009D1239">
      <w:pPr>
        <w:pStyle w:val="a5"/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Cs/>
          <w:color w:val="000000" w:themeColor="text1"/>
          <w:sz w:val="20"/>
          <w:szCs w:val="20"/>
        </w:rPr>
        <w:t>Пессимистичный сценарий прогноза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предполагает, что санкции против РФ сохранятся до конца 2022 г.  и будут ужесточаться. АВТОВАЗ сократит производство даже простых комплектаций автомобилей из-за недостатка </w:t>
      </w:r>
      <w:r w:rsidR="008B22A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комплектующих, а</w:t>
      </w:r>
      <w:r w:rsidR="000C41C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выпуск Renault Duster под брендом LADA в 2022 г.</w:t>
      </w:r>
      <w:r w:rsidR="000C41C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не начнется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. Южнокорейские и китайские бренды во 2 полугодии 2022 г. </w:t>
      </w:r>
      <w:r w:rsidR="008E6F7A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будут сталкиваться с трудностями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8E6F7A">
        <w:rPr>
          <w:rFonts w:ascii="Arial" w:hAnsi="Arial" w:cs="Arial"/>
          <w:b w:val="0"/>
          <w:color w:val="000000" w:themeColor="text1"/>
          <w:sz w:val="20"/>
          <w:szCs w:val="20"/>
        </w:rPr>
        <w:t>при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постав</w:t>
      </w:r>
      <w:r w:rsidR="008E6F7A">
        <w:rPr>
          <w:rFonts w:ascii="Arial" w:hAnsi="Arial" w:cs="Arial"/>
          <w:b w:val="0"/>
          <w:color w:val="000000" w:themeColor="text1"/>
          <w:sz w:val="20"/>
          <w:szCs w:val="20"/>
        </w:rPr>
        <w:t>ках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автомобилей и комплектующих в Россию и</w:t>
      </w:r>
      <w:r w:rsidR="00AE164A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8B22AF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существенно</w:t>
      </w:r>
      <w:r w:rsidR="000C41C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сократят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объемы продаж и производства на территории РФ.  Легковые автомобили, поставки которых на территорию РФ запрещены, будут </w:t>
      </w:r>
      <w:r w:rsidR="00E30F26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завозиться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страну по </w:t>
      </w:r>
      <w:r w:rsidR="008E6F7A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параллельному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импорту в не</w:t>
      </w:r>
      <w:r w:rsidR="000C41C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значительных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объемах. Российская экономика до конца 2022 г. будет находится в депрессивном состоянии, </w:t>
      </w:r>
      <w:r w:rsidR="000C41C3"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с ухудшением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макроэкономических показателей </w:t>
      </w:r>
      <w:r w:rsidR="008E6F7A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во второй половине года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относительно марта-апреля.</w:t>
      </w:r>
    </w:p>
    <w:p w14:paraId="188FAC6E" w14:textId="5AD6A66A" w:rsidR="00412C2C" w:rsidRPr="00CF1E74" w:rsidRDefault="00412C2C" w:rsidP="0054039E">
      <w:pPr>
        <w:pStyle w:val="a5"/>
        <w:ind w:left="0" w:firstLine="426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</w:p>
    <w:p w14:paraId="02A5175B" w14:textId="77777777" w:rsidR="00412C2C" w:rsidRPr="00017F28" w:rsidRDefault="00412C2C" w:rsidP="00AA72F4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3F844FC4" w14:textId="442FB47D" w:rsidR="00C143B7" w:rsidRPr="00017F28" w:rsidRDefault="00A26DF5" w:rsidP="00C2035C">
      <w:pPr>
        <w:pStyle w:val="a5"/>
        <w:ind w:left="0" w:firstLine="426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017F28">
        <w:rPr>
          <w:rFonts w:ascii="Arial" w:hAnsi="Arial" w:cs="Arial"/>
          <w:b w:val="0"/>
          <w:color w:val="auto"/>
          <w:sz w:val="20"/>
          <w:szCs w:val="20"/>
        </w:rPr>
        <w:t>Согласно базовому сценарию прогноза, продажи новых легковых автомобилей в 202</w:t>
      </w:r>
      <w:r w:rsidR="00983433" w:rsidRPr="00017F28">
        <w:rPr>
          <w:rFonts w:ascii="Arial" w:hAnsi="Arial" w:cs="Arial"/>
          <w:b w:val="0"/>
          <w:color w:val="auto"/>
          <w:sz w:val="20"/>
          <w:szCs w:val="20"/>
        </w:rPr>
        <w:t>2</w:t>
      </w:r>
      <w:r w:rsidRPr="00017F28">
        <w:rPr>
          <w:rFonts w:ascii="Arial" w:hAnsi="Arial" w:cs="Arial"/>
          <w:b w:val="0"/>
          <w:color w:val="auto"/>
          <w:sz w:val="20"/>
          <w:szCs w:val="20"/>
        </w:rPr>
        <w:t xml:space="preserve"> г. снизятся на</w:t>
      </w:r>
      <w:r w:rsidR="00983433" w:rsidRPr="00017F28">
        <w:rPr>
          <w:rFonts w:ascii="Arial" w:hAnsi="Arial" w:cs="Arial"/>
          <w:b w:val="0"/>
          <w:color w:val="auto"/>
          <w:sz w:val="20"/>
          <w:szCs w:val="20"/>
        </w:rPr>
        <w:t xml:space="preserve"> 66</w:t>
      </w:r>
      <w:r w:rsidRPr="00017F28">
        <w:rPr>
          <w:rFonts w:ascii="Arial" w:hAnsi="Arial" w:cs="Arial"/>
          <w:b w:val="0"/>
          <w:color w:val="auto"/>
          <w:sz w:val="20"/>
          <w:szCs w:val="20"/>
        </w:rPr>
        <w:t>,</w:t>
      </w:r>
      <w:r w:rsidR="00983433" w:rsidRPr="00017F28">
        <w:rPr>
          <w:rFonts w:ascii="Arial" w:hAnsi="Arial" w:cs="Arial"/>
          <w:b w:val="0"/>
          <w:color w:val="auto"/>
          <w:sz w:val="20"/>
          <w:szCs w:val="20"/>
        </w:rPr>
        <w:t>95</w:t>
      </w:r>
      <w:r w:rsidRPr="00017F28">
        <w:rPr>
          <w:rFonts w:ascii="Arial" w:hAnsi="Arial" w:cs="Arial"/>
          <w:b w:val="0"/>
          <w:color w:val="auto"/>
          <w:sz w:val="20"/>
          <w:szCs w:val="20"/>
        </w:rPr>
        <w:t>% по сравнению с 20</w:t>
      </w:r>
      <w:r w:rsidR="00983433" w:rsidRPr="00017F28">
        <w:rPr>
          <w:rFonts w:ascii="Arial" w:hAnsi="Arial" w:cs="Arial"/>
          <w:b w:val="0"/>
          <w:color w:val="auto"/>
          <w:sz w:val="20"/>
          <w:szCs w:val="20"/>
        </w:rPr>
        <w:t>21</w:t>
      </w:r>
      <w:r w:rsidRPr="00017F28">
        <w:rPr>
          <w:rFonts w:ascii="Arial" w:hAnsi="Arial" w:cs="Arial"/>
          <w:b w:val="0"/>
          <w:color w:val="auto"/>
          <w:sz w:val="20"/>
          <w:szCs w:val="20"/>
        </w:rPr>
        <w:t xml:space="preserve"> г. и составят </w:t>
      </w:r>
      <w:r w:rsidR="00983433" w:rsidRPr="00017F28">
        <w:rPr>
          <w:rFonts w:ascii="Arial" w:hAnsi="Arial" w:cs="Arial"/>
          <w:b w:val="0"/>
          <w:color w:val="auto"/>
          <w:sz w:val="20"/>
          <w:szCs w:val="20"/>
        </w:rPr>
        <w:t>454</w:t>
      </w:r>
      <w:r w:rsidRPr="00017F28">
        <w:rPr>
          <w:rFonts w:ascii="Arial" w:hAnsi="Arial" w:cs="Arial"/>
          <w:b w:val="0"/>
          <w:color w:val="auto"/>
          <w:sz w:val="20"/>
          <w:szCs w:val="20"/>
        </w:rPr>
        <w:t>,</w:t>
      </w:r>
      <w:r w:rsidR="00983433" w:rsidRPr="00017F28">
        <w:rPr>
          <w:rFonts w:ascii="Arial" w:hAnsi="Arial" w:cs="Arial"/>
          <w:b w:val="0"/>
          <w:color w:val="auto"/>
          <w:sz w:val="20"/>
          <w:szCs w:val="20"/>
        </w:rPr>
        <w:t>1</w:t>
      </w:r>
      <w:r w:rsidRPr="00017F28">
        <w:rPr>
          <w:rFonts w:ascii="Arial" w:hAnsi="Arial" w:cs="Arial"/>
          <w:b w:val="0"/>
          <w:color w:val="auto"/>
          <w:sz w:val="20"/>
          <w:szCs w:val="20"/>
        </w:rPr>
        <w:t xml:space="preserve"> тыс. ед.</w:t>
      </w:r>
      <w:r w:rsidR="00C143B7" w:rsidRPr="00017F28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06745B" w:rsidRPr="00017F28">
        <w:rPr>
          <w:rFonts w:ascii="Arial" w:hAnsi="Arial" w:cs="Arial"/>
          <w:b w:val="0"/>
          <w:color w:val="auto"/>
          <w:sz w:val="20"/>
          <w:szCs w:val="20"/>
        </w:rPr>
        <w:t xml:space="preserve">По оптимистичному сценарию сокращение продаж составит </w:t>
      </w:r>
      <w:r w:rsidR="00983433" w:rsidRPr="00017F28">
        <w:rPr>
          <w:rFonts w:ascii="Arial" w:hAnsi="Arial" w:cs="Arial"/>
          <w:b w:val="0"/>
          <w:color w:val="auto"/>
          <w:sz w:val="20"/>
          <w:szCs w:val="20"/>
        </w:rPr>
        <w:t>6</w:t>
      </w:r>
      <w:r w:rsidR="00D07630" w:rsidRPr="00017F28">
        <w:rPr>
          <w:rFonts w:ascii="Arial" w:hAnsi="Arial" w:cs="Arial"/>
          <w:b w:val="0"/>
          <w:color w:val="auto"/>
          <w:sz w:val="20"/>
          <w:szCs w:val="20"/>
        </w:rPr>
        <w:t>5</w:t>
      </w:r>
      <w:r w:rsidR="0006745B" w:rsidRPr="00017F28">
        <w:rPr>
          <w:rFonts w:ascii="Arial" w:hAnsi="Arial" w:cs="Arial"/>
          <w:b w:val="0"/>
          <w:color w:val="auto"/>
          <w:sz w:val="20"/>
          <w:szCs w:val="20"/>
        </w:rPr>
        <w:t>,</w:t>
      </w:r>
      <w:r w:rsidR="00D07630" w:rsidRPr="00017F28">
        <w:rPr>
          <w:rFonts w:ascii="Arial" w:hAnsi="Arial" w:cs="Arial"/>
          <w:b w:val="0"/>
          <w:color w:val="auto"/>
          <w:sz w:val="20"/>
          <w:szCs w:val="20"/>
        </w:rPr>
        <w:t>69</w:t>
      </w:r>
      <w:r w:rsidR="0006745B" w:rsidRPr="00017F28">
        <w:rPr>
          <w:rFonts w:ascii="Arial" w:hAnsi="Arial" w:cs="Arial"/>
          <w:b w:val="0"/>
          <w:color w:val="auto"/>
          <w:sz w:val="20"/>
          <w:szCs w:val="20"/>
        </w:rPr>
        <w:t xml:space="preserve">%, по пессимистичному – </w:t>
      </w:r>
      <w:r w:rsidR="00983433" w:rsidRPr="00017F28">
        <w:rPr>
          <w:rFonts w:ascii="Arial" w:hAnsi="Arial" w:cs="Arial"/>
          <w:b w:val="0"/>
          <w:color w:val="auto"/>
          <w:sz w:val="20"/>
          <w:szCs w:val="20"/>
        </w:rPr>
        <w:t>73</w:t>
      </w:r>
      <w:r w:rsidR="0006745B" w:rsidRPr="00017F28">
        <w:rPr>
          <w:rFonts w:ascii="Arial" w:hAnsi="Arial" w:cs="Arial"/>
          <w:b w:val="0"/>
          <w:color w:val="auto"/>
          <w:sz w:val="20"/>
          <w:szCs w:val="20"/>
        </w:rPr>
        <w:t>,</w:t>
      </w:r>
      <w:r w:rsidR="00D07630" w:rsidRPr="00017F28">
        <w:rPr>
          <w:rFonts w:ascii="Arial" w:hAnsi="Arial" w:cs="Arial"/>
          <w:b w:val="0"/>
          <w:color w:val="auto"/>
          <w:sz w:val="20"/>
          <w:szCs w:val="20"/>
        </w:rPr>
        <w:t>92</w:t>
      </w:r>
      <w:r w:rsidR="0006745B" w:rsidRPr="00017F28">
        <w:rPr>
          <w:rFonts w:ascii="Arial" w:hAnsi="Arial" w:cs="Arial"/>
          <w:b w:val="0"/>
          <w:color w:val="auto"/>
          <w:sz w:val="20"/>
          <w:szCs w:val="20"/>
        </w:rPr>
        <w:t>%.</w:t>
      </w:r>
    </w:p>
    <w:p w14:paraId="2F104785" w14:textId="77777777" w:rsidR="00017F28" w:rsidRDefault="00017F28" w:rsidP="000C08DF">
      <w:pPr>
        <w:pStyle w:val="a4"/>
        <w:ind w:right="141"/>
        <w:rPr>
          <w:rFonts w:cs="Arial"/>
        </w:rPr>
      </w:pPr>
      <w:bookmarkStart w:id="0" w:name="_GoBack"/>
      <w:bookmarkEnd w:id="0"/>
    </w:p>
    <w:p w14:paraId="51F4E1C7" w14:textId="213CA846" w:rsidR="000C08DF" w:rsidRPr="00694BED" w:rsidRDefault="000C08DF" w:rsidP="000C08DF">
      <w:pPr>
        <w:pStyle w:val="a4"/>
        <w:ind w:right="141"/>
        <w:rPr>
          <w:rFonts w:cs="Arial"/>
        </w:rPr>
      </w:pPr>
      <w:r w:rsidRPr="00694BED">
        <w:rPr>
          <w:rFonts w:cs="Arial"/>
        </w:rPr>
        <w:t>Прогноз рынка новых легковых автомобилей до 202</w:t>
      </w:r>
      <w:r w:rsidR="00983433">
        <w:rPr>
          <w:rFonts w:cs="Arial"/>
        </w:rPr>
        <w:t>2</w:t>
      </w:r>
      <w:r w:rsidRPr="00694BED">
        <w:rPr>
          <w:rFonts w:cs="Arial"/>
        </w:rPr>
        <w:t xml:space="preserve"> г., тыс. </w:t>
      </w:r>
      <w:r w:rsidR="00612DF4">
        <w:rPr>
          <w:rFonts w:cs="Arial"/>
        </w:rPr>
        <w:t>ед</w:t>
      </w:r>
      <w:r w:rsidRPr="00694BED">
        <w:rPr>
          <w:rFonts w:cs="Arial"/>
        </w:rPr>
        <w:t>.</w:t>
      </w:r>
      <w:r w:rsidR="00B271C6" w:rsidRPr="00694BED">
        <w:rPr>
          <w:rFonts w:cs="Arial"/>
        </w:rPr>
        <w:t xml:space="preserve"> </w:t>
      </w:r>
    </w:p>
    <w:p w14:paraId="3A866563" w14:textId="3F296BA8" w:rsidR="000C08DF" w:rsidRDefault="00017F28" w:rsidP="00017F28">
      <w:r>
        <w:rPr>
          <w:noProof/>
          <w:lang w:val="en-US"/>
        </w:rPr>
        <w:drawing>
          <wp:inline distT="0" distB="0" distL="0" distR="0" wp14:anchorId="3313D65C" wp14:editId="0C618D61">
            <wp:extent cx="5940425" cy="4163060"/>
            <wp:effectExtent l="0" t="0" r="3175" b="889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8B7F747" w14:textId="776B87DD" w:rsidR="003B7D26" w:rsidRPr="00E827D7" w:rsidRDefault="000C08DF" w:rsidP="00017F28">
      <w:pPr>
        <w:pStyle w:val="a3"/>
      </w:pPr>
      <w:r w:rsidRPr="008C2D07">
        <w:t>Источник</w:t>
      </w:r>
      <w:r w:rsidRPr="00E827D7">
        <w:t xml:space="preserve">: </w:t>
      </w:r>
      <w:r w:rsidRPr="00B271C6">
        <w:rPr>
          <w:lang w:val="en-US"/>
        </w:rPr>
        <w:t>Russian</w:t>
      </w:r>
      <w:r w:rsidRPr="00E827D7">
        <w:t xml:space="preserve"> </w:t>
      </w:r>
      <w:r w:rsidRPr="00B271C6">
        <w:rPr>
          <w:lang w:val="en-US"/>
        </w:rPr>
        <w:t>Automotive</w:t>
      </w:r>
      <w:r w:rsidRPr="00E827D7">
        <w:t xml:space="preserve"> </w:t>
      </w:r>
      <w:r w:rsidRPr="00B271C6">
        <w:rPr>
          <w:lang w:val="en-US"/>
        </w:rPr>
        <w:t>Market</w:t>
      </w:r>
      <w:r w:rsidRPr="00E827D7">
        <w:t xml:space="preserve"> </w:t>
      </w:r>
      <w:r w:rsidRPr="00B271C6">
        <w:rPr>
          <w:lang w:val="en-US"/>
        </w:rPr>
        <w:t>Research</w:t>
      </w:r>
    </w:p>
    <w:p w14:paraId="11EC5E4A" w14:textId="77777777" w:rsidR="00FB414C" w:rsidRPr="00E827D7" w:rsidRDefault="00FB414C" w:rsidP="00A040DD">
      <w:pPr>
        <w:pStyle w:val="a4"/>
        <w:ind w:right="141"/>
        <w:rPr>
          <w:rFonts w:cs="Arial"/>
        </w:rPr>
      </w:pPr>
      <w:bookmarkStart w:id="1" w:name="_Hlk103915974"/>
    </w:p>
    <w:p w14:paraId="310DC1F0" w14:textId="05D8D93D" w:rsidR="00A040DD" w:rsidRPr="00DD13CC" w:rsidRDefault="00A040DD" w:rsidP="00A040DD">
      <w:pPr>
        <w:pStyle w:val="a4"/>
        <w:ind w:right="141"/>
        <w:rPr>
          <w:rFonts w:cs="Arial"/>
        </w:rPr>
      </w:pPr>
      <w:r w:rsidRPr="00694BED">
        <w:rPr>
          <w:rFonts w:cs="Arial"/>
        </w:rPr>
        <w:t>Прогноз</w:t>
      </w:r>
      <w:r w:rsidRPr="00DD13CC">
        <w:rPr>
          <w:rFonts w:cs="Arial"/>
        </w:rPr>
        <w:t xml:space="preserve"> </w:t>
      </w:r>
      <w:r>
        <w:rPr>
          <w:rFonts w:cs="Arial"/>
        </w:rPr>
        <w:t>продаж</w:t>
      </w:r>
      <w:r w:rsidRPr="00DD13CC">
        <w:rPr>
          <w:rFonts w:cs="Arial"/>
        </w:rPr>
        <w:t xml:space="preserve"> </w:t>
      </w:r>
      <w:r>
        <w:rPr>
          <w:rFonts w:cs="Arial"/>
          <w:lang w:val="en-US"/>
        </w:rPr>
        <w:t>LADA</w:t>
      </w:r>
      <w:r w:rsidRPr="00DD13CC">
        <w:rPr>
          <w:rFonts w:cs="Arial"/>
        </w:rPr>
        <w:t xml:space="preserve"> </w:t>
      </w:r>
      <w:r w:rsidR="00180E77" w:rsidRPr="00180E77">
        <w:rPr>
          <w:rFonts w:cs="Arial"/>
        </w:rPr>
        <w:t xml:space="preserve"> (</w:t>
      </w:r>
      <w:r w:rsidR="00180E77">
        <w:rPr>
          <w:rFonts w:cs="Arial"/>
        </w:rPr>
        <w:t xml:space="preserve">без учета </w:t>
      </w:r>
      <w:r w:rsidR="00180E77">
        <w:rPr>
          <w:rFonts w:cs="Arial"/>
          <w:lang w:val="en-US"/>
        </w:rPr>
        <w:t>LCV</w:t>
      </w:r>
      <w:r w:rsidR="00180E77" w:rsidRPr="00180E77">
        <w:rPr>
          <w:rFonts w:cs="Arial"/>
        </w:rPr>
        <w:t xml:space="preserve">) </w:t>
      </w:r>
      <w:r w:rsidR="00DD13CC" w:rsidRPr="00DD13CC">
        <w:rPr>
          <w:rFonts w:cs="Arial"/>
        </w:rPr>
        <w:t xml:space="preserve"> </w:t>
      </w:r>
      <w:r>
        <w:rPr>
          <w:rFonts w:cs="Arial"/>
        </w:rPr>
        <w:t>на</w:t>
      </w:r>
      <w:r w:rsidRPr="00DD13CC">
        <w:rPr>
          <w:rFonts w:cs="Arial"/>
        </w:rPr>
        <w:t xml:space="preserve"> 2022 </w:t>
      </w:r>
      <w:r w:rsidRPr="00694BED">
        <w:rPr>
          <w:rFonts w:cs="Arial"/>
        </w:rPr>
        <w:t>г</w:t>
      </w:r>
      <w:r w:rsidRPr="00DD13CC">
        <w:rPr>
          <w:rFonts w:cs="Arial"/>
        </w:rPr>
        <w:t xml:space="preserve">., </w:t>
      </w:r>
      <w:r w:rsidRPr="00694BED">
        <w:rPr>
          <w:rFonts w:cs="Arial"/>
        </w:rPr>
        <w:t>тыс</w:t>
      </w:r>
      <w:r w:rsidRPr="00DD13CC">
        <w:rPr>
          <w:rFonts w:cs="Arial"/>
        </w:rPr>
        <w:t xml:space="preserve">. </w:t>
      </w:r>
      <w:r>
        <w:rPr>
          <w:rFonts w:cs="Arial"/>
        </w:rPr>
        <w:t>ед</w:t>
      </w:r>
      <w:r w:rsidRPr="00DD13CC">
        <w:rPr>
          <w:rFonts w:cs="Arial"/>
        </w:rPr>
        <w:t xml:space="preserve">. </w:t>
      </w:r>
    </w:p>
    <w:bookmarkEnd w:id="1"/>
    <w:p w14:paraId="13757A5C" w14:textId="1899C3A4" w:rsidR="00A040DD" w:rsidRDefault="00017F28" w:rsidP="00017F28">
      <w:pPr>
        <w:pStyle w:val="a3"/>
      </w:pPr>
      <w:r>
        <w:rPr>
          <w:noProof/>
          <w:lang w:val="en-US"/>
        </w:rPr>
        <w:drawing>
          <wp:inline distT="0" distB="0" distL="0" distR="0" wp14:anchorId="747B8E5D" wp14:editId="431181A4">
            <wp:extent cx="5399405" cy="3298190"/>
            <wp:effectExtent l="0" t="0" r="0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D63161AE-05DD-45D8-B0CF-D2CCC66D43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DF3246C" w14:textId="53C925C4" w:rsidR="00017F28" w:rsidRDefault="00017F28" w:rsidP="00017F28">
      <w:pPr>
        <w:pStyle w:val="a3"/>
      </w:pPr>
      <w:r w:rsidRPr="008C2D07">
        <w:t>Источник</w:t>
      </w:r>
      <w:r w:rsidRPr="00E827D7">
        <w:t xml:space="preserve">: </w:t>
      </w:r>
      <w:r w:rsidRPr="00B271C6">
        <w:rPr>
          <w:lang w:val="en-US"/>
        </w:rPr>
        <w:t>Russian</w:t>
      </w:r>
      <w:r w:rsidRPr="00E827D7">
        <w:t xml:space="preserve"> </w:t>
      </w:r>
      <w:r w:rsidRPr="00B271C6">
        <w:rPr>
          <w:lang w:val="en-US"/>
        </w:rPr>
        <w:t>Automotive</w:t>
      </w:r>
      <w:r w:rsidRPr="00E827D7">
        <w:t xml:space="preserve"> </w:t>
      </w:r>
      <w:r w:rsidRPr="00B271C6">
        <w:rPr>
          <w:lang w:val="en-US"/>
        </w:rPr>
        <w:t>Market</w:t>
      </w:r>
      <w:r w:rsidRPr="00E827D7">
        <w:t xml:space="preserve"> </w:t>
      </w:r>
      <w:r w:rsidRPr="00B271C6">
        <w:rPr>
          <w:lang w:val="en-US"/>
        </w:rPr>
        <w:t>Research</w:t>
      </w:r>
    </w:p>
    <w:p w14:paraId="404F2BB6" w14:textId="77777777" w:rsidR="00017F28" w:rsidRPr="00017F28" w:rsidRDefault="00017F28" w:rsidP="00017F28"/>
    <w:p w14:paraId="70FC290E" w14:textId="77777777" w:rsidR="00017F28" w:rsidRPr="00017F28" w:rsidRDefault="00017F28" w:rsidP="00017F28"/>
    <w:p w14:paraId="5C486279" w14:textId="384CAFAC" w:rsidR="00A040DD" w:rsidRDefault="00A040DD" w:rsidP="00A040DD">
      <w:pPr>
        <w:pStyle w:val="a4"/>
        <w:ind w:right="141"/>
        <w:rPr>
          <w:rFonts w:cs="Arial"/>
        </w:rPr>
      </w:pPr>
      <w:r w:rsidRPr="00694BED">
        <w:rPr>
          <w:rFonts w:cs="Arial"/>
        </w:rPr>
        <w:t xml:space="preserve">Прогноз </w:t>
      </w:r>
      <w:r>
        <w:rPr>
          <w:rFonts w:cs="Arial"/>
        </w:rPr>
        <w:t xml:space="preserve">продаж </w:t>
      </w:r>
      <w:r>
        <w:rPr>
          <w:rFonts w:cs="Arial"/>
          <w:lang w:val="en-US"/>
        </w:rPr>
        <w:t>KIA</w:t>
      </w:r>
      <w:r w:rsidRPr="00694BED">
        <w:rPr>
          <w:rFonts w:cs="Arial"/>
        </w:rPr>
        <w:t xml:space="preserve"> </w:t>
      </w:r>
      <w:r>
        <w:rPr>
          <w:rFonts w:cs="Arial"/>
        </w:rPr>
        <w:t>на</w:t>
      </w:r>
      <w:r w:rsidRPr="00694BED">
        <w:rPr>
          <w:rFonts w:cs="Arial"/>
        </w:rPr>
        <w:t xml:space="preserve"> 202</w:t>
      </w:r>
      <w:r>
        <w:rPr>
          <w:rFonts w:cs="Arial"/>
        </w:rPr>
        <w:t>2</w:t>
      </w:r>
      <w:r w:rsidRPr="00694BED">
        <w:rPr>
          <w:rFonts w:cs="Arial"/>
        </w:rPr>
        <w:t xml:space="preserve"> г., тыс. </w:t>
      </w:r>
      <w:r>
        <w:rPr>
          <w:rFonts w:cs="Arial"/>
        </w:rPr>
        <w:t>ед</w:t>
      </w:r>
      <w:r w:rsidRPr="00694BED">
        <w:rPr>
          <w:rFonts w:cs="Arial"/>
        </w:rPr>
        <w:t xml:space="preserve">. </w:t>
      </w:r>
    </w:p>
    <w:p w14:paraId="5924A254" w14:textId="77777777" w:rsidR="00FB414C" w:rsidRPr="00694BED" w:rsidRDefault="00FB414C" w:rsidP="00A040DD">
      <w:pPr>
        <w:pStyle w:val="a4"/>
        <w:ind w:right="141"/>
        <w:rPr>
          <w:rFonts w:cs="Arial"/>
        </w:rPr>
      </w:pPr>
    </w:p>
    <w:p w14:paraId="4AC8F08B" w14:textId="0303778E" w:rsidR="00A040DD" w:rsidRDefault="00017F28" w:rsidP="00017F28">
      <w:pPr>
        <w:pStyle w:val="a3"/>
      </w:pPr>
      <w:r>
        <w:rPr>
          <w:noProof/>
          <w:lang w:val="en-US"/>
        </w:rPr>
        <w:drawing>
          <wp:inline distT="0" distB="0" distL="0" distR="0" wp14:anchorId="370E3CCE" wp14:editId="383F89D9">
            <wp:extent cx="5399405" cy="3599815"/>
            <wp:effectExtent l="0" t="0" r="0" b="635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C29E5676-B3E5-41B8-A976-52271E6F87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687F86E" w14:textId="66BAA492" w:rsidR="00A040DD" w:rsidRDefault="00017F28" w:rsidP="00017F28">
      <w:pPr>
        <w:pStyle w:val="a3"/>
      </w:pPr>
      <w:r w:rsidRPr="008C2D07">
        <w:t>Источник</w:t>
      </w:r>
      <w:r w:rsidRPr="00E827D7">
        <w:t xml:space="preserve">: </w:t>
      </w:r>
      <w:r w:rsidRPr="00B271C6">
        <w:rPr>
          <w:lang w:val="en-US"/>
        </w:rPr>
        <w:t>Russian</w:t>
      </w:r>
      <w:r w:rsidRPr="00E827D7">
        <w:t xml:space="preserve"> </w:t>
      </w:r>
      <w:r w:rsidRPr="00B271C6">
        <w:rPr>
          <w:lang w:val="en-US"/>
        </w:rPr>
        <w:t>Automotive</w:t>
      </w:r>
      <w:r w:rsidRPr="00E827D7">
        <w:t xml:space="preserve"> </w:t>
      </w:r>
      <w:r w:rsidRPr="00B271C6">
        <w:rPr>
          <w:lang w:val="en-US"/>
        </w:rPr>
        <w:t>Market</w:t>
      </w:r>
      <w:r w:rsidRPr="00E827D7">
        <w:t xml:space="preserve"> </w:t>
      </w:r>
      <w:r w:rsidRPr="00B271C6">
        <w:rPr>
          <w:lang w:val="en-US"/>
        </w:rPr>
        <w:t>Research</w:t>
      </w:r>
    </w:p>
    <w:p w14:paraId="1699C1A5" w14:textId="77777777" w:rsidR="00FB414C" w:rsidRDefault="00FB414C" w:rsidP="00A040DD">
      <w:pPr>
        <w:pStyle w:val="a4"/>
        <w:ind w:right="141"/>
        <w:rPr>
          <w:rFonts w:cs="Arial"/>
        </w:rPr>
      </w:pPr>
    </w:p>
    <w:p w14:paraId="42898F09" w14:textId="6D74658D" w:rsidR="00A040DD" w:rsidRDefault="00A040DD" w:rsidP="00A040DD">
      <w:pPr>
        <w:pStyle w:val="a4"/>
        <w:ind w:right="141"/>
        <w:rPr>
          <w:rFonts w:cs="Arial"/>
        </w:rPr>
      </w:pPr>
      <w:r w:rsidRPr="00694BED">
        <w:rPr>
          <w:rFonts w:cs="Arial"/>
        </w:rPr>
        <w:t xml:space="preserve">Прогноз </w:t>
      </w:r>
      <w:r>
        <w:rPr>
          <w:rFonts w:cs="Arial"/>
        </w:rPr>
        <w:t xml:space="preserve">продаж </w:t>
      </w:r>
      <w:r>
        <w:rPr>
          <w:rFonts w:cs="Arial"/>
          <w:lang w:val="en-US"/>
        </w:rPr>
        <w:t>HYUNDAI</w:t>
      </w:r>
      <w:r w:rsidRPr="00FB414C">
        <w:rPr>
          <w:rFonts w:cs="Arial"/>
        </w:rPr>
        <w:t xml:space="preserve"> </w:t>
      </w:r>
      <w:r>
        <w:rPr>
          <w:rFonts w:cs="Arial"/>
        </w:rPr>
        <w:t>на</w:t>
      </w:r>
      <w:r w:rsidRPr="00694BED">
        <w:rPr>
          <w:rFonts w:cs="Arial"/>
        </w:rPr>
        <w:t xml:space="preserve"> 202</w:t>
      </w:r>
      <w:r>
        <w:rPr>
          <w:rFonts w:cs="Arial"/>
        </w:rPr>
        <w:t>2</w:t>
      </w:r>
      <w:r w:rsidRPr="00694BED">
        <w:rPr>
          <w:rFonts w:cs="Arial"/>
        </w:rPr>
        <w:t xml:space="preserve"> г., тыс. </w:t>
      </w:r>
      <w:r>
        <w:rPr>
          <w:rFonts w:cs="Arial"/>
        </w:rPr>
        <w:t>ед</w:t>
      </w:r>
      <w:r w:rsidRPr="00694BED">
        <w:rPr>
          <w:rFonts w:cs="Arial"/>
        </w:rPr>
        <w:t xml:space="preserve">. </w:t>
      </w:r>
    </w:p>
    <w:p w14:paraId="2568C7C9" w14:textId="77777777" w:rsidR="00FB414C" w:rsidRPr="00694BED" w:rsidRDefault="00FB414C" w:rsidP="00A040DD">
      <w:pPr>
        <w:pStyle w:val="a4"/>
        <w:ind w:right="141"/>
        <w:rPr>
          <w:rFonts w:cs="Arial"/>
        </w:rPr>
      </w:pPr>
    </w:p>
    <w:p w14:paraId="0A2B8492" w14:textId="084AEF8F" w:rsidR="00A040DD" w:rsidRDefault="00017F28" w:rsidP="00017F28">
      <w:pPr>
        <w:pStyle w:val="a3"/>
      </w:pPr>
      <w:r>
        <w:rPr>
          <w:noProof/>
          <w:lang w:val="en-US"/>
        </w:rPr>
        <w:drawing>
          <wp:inline distT="0" distB="0" distL="0" distR="0" wp14:anchorId="3DD4F2A1" wp14:editId="35C43951">
            <wp:extent cx="5332730" cy="3599815"/>
            <wp:effectExtent l="0" t="0" r="1270" b="635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1D237616-8D98-445C-967E-C028C8918D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7F1DCBC" w14:textId="2148631C" w:rsidR="00B944A4" w:rsidRDefault="00017F28" w:rsidP="00017F28">
      <w:pPr>
        <w:pStyle w:val="a3"/>
      </w:pPr>
      <w:r w:rsidRPr="008C2D07">
        <w:t>Источник</w:t>
      </w:r>
      <w:r w:rsidRPr="00E827D7">
        <w:t xml:space="preserve">: </w:t>
      </w:r>
      <w:r w:rsidRPr="00B271C6">
        <w:rPr>
          <w:lang w:val="en-US"/>
        </w:rPr>
        <w:t>Russian</w:t>
      </w:r>
      <w:r w:rsidRPr="00E827D7">
        <w:t xml:space="preserve"> </w:t>
      </w:r>
      <w:r w:rsidRPr="00B271C6">
        <w:rPr>
          <w:lang w:val="en-US"/>
        </w:rPr>
        <w:t>Automotive</w:t>
      </w:r>
      <w:r w:rsidRPr="00E827D7">
        <w:t xml:space="preserve"> </w:t>
      </w:r>
      <w:r w:rsidRPr="00B271C6">
        <w:rPr>
          <w:lang w:val="en-US"/>
        </w:rPr>
        <w:t>Market</w:t>
      </w:r>
      <w:r w:rsidRPr="00E827D7">
        <w:t xml:space="preserve"> </w:t>
      </w:r>
      <w:r w:rsidRPr="00B271C6">
        <w:rPr>
          <w:lang w:val="en-US"/>
        </w:rPr>
        <w:t>Research</w:t>
      </w:r>
    </w:p>
    <w:p w14:paraId="47C0232A" w14:textId="09DC0B18" w:rsidR="00B944A4" w:rsidRDefault="00B944A4" w:rsidP="00B944A4">
      <w:pPr>
        <w:pStyle w:val="a4"/>
        <w:ind w:right="141"/>
        <w:rPr>
          <w:rFonts w:cs="Arial"/>
        </w:rPr>
      </w:pPr>
      <w:r w:rsidRPr="00694BED">
        <w:rPr>
          <w:rFonts w:cs="Arial"/>
        </w:rPr>
        <w:t xml:space="preserve">Прогноз </w:t>
      </w:r>
      <w:r>
        <w:rPr>
          <w:rFonts w:cs="Arial"/>
        </w:rPr>
        <w:t>продаж</w:t>
      </w:r>
      <w:r w:rsidR="00FB414C" w:rsidRPr="00FB414C">
        <w:rPr>
          <w:rFonts w:cs="Arial"/>
        </w:rPr>
        <w:t xml:space="preserve"> </w:t>
      </w:r>
      <w:r w:rsidR="00FB414C">
        <w:rPr>
          <w:rFonts w:cs="Arial"/>
        </w:rPr>
        <w:t>по</w:t>
      </w:r>
      <w:r>
        <w:rPr>
          <w:rFonts w:cs="Arial"/>
        </w:rPr>
        <w:t xml:space="preserve"> китайски</w:t>
      </w:r>
      <w:r w:rsidR="00FB414C">
        <w:rPr>
          <w:rFonts w:cs="Arial"/>
        </w:rPr>
        <w:t>м</w:t>
      </w:r>
      <w:r>
        <w:rPr>
          <w:rFonts w:cs="Arial"/>
        </w:rPr>
        <w:t xml:space="preserve"> бренд</w:t>
      </w:r>
      <w:r w:rsidR="00FB414C">
        <w:rPr>
          <w:rFonts w:cs="Arial"/>
        </w:rPr>
        <w:t>ам</w:t>
      </w:r>
      <w:r w:rsidR="00FB414C">
        <w:rPr>
          <w:rStyle w:val="aa"/>
          <w:rFonts w:cs="Arial"/>
        </w:rPr>
        <w:footnoteReference w:id="1"/>
      </w:r>
      <w:r>
        <w:rPr>
          <w:rFonts w:cs="Arial"/>
        </w:rPr>
        <w:t xml:space="preserve"> на</w:t>
      </w:r>
      <w:r w:rsidRPr="00694BED">
        <w:rPr>
          <w:rFonts w:cs="Arial"/>
        </w:rPr>
        <w:t xml:space="preserve"> 202</w:t>
      </w:r>
      <w:r>
        <w:rPr>
          <w:rFonts w:cs="Arial"/>
        </w:rPr>
        <w:t>2</w:t>
      </w:r>
      <w:r w:rsidRPr="00694BED">
        <w:rPr>
          <w:rFonts w:cs="Arial"/>
        </w:rPr>
        <w:t xml:space="preserve"> г., тыс. </w:t>
      </w:r>
      <w:r>
        <w:rPr>
          <w:rFonts w:cs="Arial"/>
        </w:rPr>
        <w:t>ед</w:t>
      </w:r>
      <w:r w:rsidRPr="00694BED">
        <w:rPr>
          <w:rFonts w:cs="Arial"/>
        </w:rPr>
        <w:t xml:space="preserve">. </w:t>
      </w:r>
    </w:p>
    <w:p w14:paraId="751F2AF6" w14:textId="0AC8830A" w:rsidR="00B944A4" w:rsidRDefault="00017F28" w:rsidP="00017F28">
      <w:pPr>
        <w:pStyle w:val="a3"/>
      </w:pPr>
      <w:r>
        <w:rPr>
          <w:noProof/>
          <w:lang w:val="en-US"/>
        </w:rPr>
        <w:drawing>
          <wp:inline distT="0" distB="0" distL="0" distR="0" wp14:anchorId="4957D918" wp14:editId="61F3D632">
            <wp:extent cx="5429250" cy="3599815"/>
            <wp:effectExtent l="0" t="0" r="0" b="635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ABC23382-ADF6-4376-8AD2-40D1FE98B8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C6BA302" w14:textId="66F94703" w:rsidR="00B944A4" w:rsidRDefault="00017F28" w:rsidP="00017F28">
      <w:pPr>
        <w:pStyle w:val="a3"/>
        <w:rPr>
          <w:lang w:val="en-US"/>
        </w:rPr>
      </w:pPr>
      <w:r w:rsidRPr="008C2D07">
        <w:t>Источник</w:t>
      </w:r>
      <w:r w:rsidRPr="00E827D7">
        <w:t xml:space="preserve">: </w:t>
      </w:r>
      <w:r w:rsidRPr="00B271C6">
        <w:rPr>
          <w:lang w:val="en-US"/>
        </w:rPr>
        <w:t>Russian</w:t>
      </w:r>
      <w:r w:rsidRPr="00E827D7">
        <w:t xml:space="preserve"> </w:t>
      </w:r>
      <w:r w:rsidRPr="00B271C6">
        <w:rPr>
          <w:lang w:val="en-US"/>
        </w:rPr>
        <w:t>Automotive</w:t>
      </w:r>
      <w:r w:rsidRPr="00E827D7">
        <w:t xml:space="preserve"> </w:t>
      </w:r>
      <w:r w:rsidRPr="00B271C6">
        <w:rPr>
          <w:lang w:val="en-US"/>
        </w:rPr>
        <w:t>Market</w:t>
      </w:r>
      <w:r w:rsidRPr="00E827D7">
        <w:t xml:space="preserve"> </w:t>
      </w:r>
      <w:r w:rsidRPr="00B271C6">
        <w:rPr>
          <w:lang w:val="en-US"/>
        </w:rPr>
        <w:t>Research</w:t>
      </w:r>
    </w:p>
    <w:p w14:paraId="042624D2" w14:textId="465F40E3" w:rsidR="00017F28" w:rsidRDefault="00017F28" w:rsidP="00017F28">
      <w:pPr>
        <w:pStyle w:val="a3"/>
        <w:rPr>
          <w:lang w:val="en-US"/>
        </w:rPr>
      </w:pPr>
    </w:p>
    <w:p w14:paraId="0A91F0E2" w14:textId="7BAB58BB" w:rsidR="00B944A4" w:rsidRPr="00FB414C" w:rsidRDefault="00D405A7" w:rsidP="00A14A0E">
      <w:pPr>
        <w:pStyle w:val="3"/>
        <w:rPr>
          <w:lang w:val="ru-RU"/>
        </w:rPr>
      </w:pPr>
      <w:r>
        <w:rPr>
          <w:lang w:val="ru-RU"/>
        </w:rPr>
        <w:t>Прогноз с</w:t>
      </w:r>
      <w:r w:rsidR="008974FC">
        <w:rPr>
          <w:lang w:val="ru-RU"/>
        </w:rPr>
        <w:t>труктур</w:t>
      </w:r>
      <w:r>
        <w:rPr>
          <w:lang w:val="ru-RU"/>
        </w:rPr>
        <w:t>ы</w:t>
      </w:r>
      <w:r w:rsidR="008974FC">
        <w:rPr>
          <w:lang w:val="ru-RU"/>
        </w:rPr>
        <w:t xml:space="preserve"> рынка</w:t>
      </w:r>
      <w:r w:rsidR="00FD73FA">
        <w:rPr>
          <w:lang w:val="ru-RU"/>
        </w:rPr>
        <w:t xml:space="preserve"> новых легковых автомобилей в</w:t>
      </w:r>
      <w:r w:rsidR="00A14A0E" w:rsidRPr="00FB414C">
        <w:rPr>
          <w:lang w:val="ru-RU"/>
        </w:rPr>
        <w:t xml:space="preserve"> 2022 г.</w:t>
      </w:r>
    </w:p>
    <w:p w14:paraId="55E41F35" w14:textId="77777777" w:rsidR="00017F28" w:rsidRDefault="00017F28" w:rsidP="00017F28">
      <w:pPr>
        <w:pStyle w:val="a3"/>
      </w:pPr>
      <w:r>
        <w:rPr>
          <w:noProof/>
          <w:lang w:val="en-US"/>
        </w:rPr>
        <w:drawing>
          <wp:inline distT="0" distB="0" distL="0" distR="0" wp14:anchorId="4C098C1B" wp14:editId="2550CD57">
            <wp:extent cx="5399405" cy="3599815"/>
            <wp:effectExtent l="0" t="0" r="0" b="635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D75674FC-0A9A-4D95-8F98-EF0EEC57F7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017F28">
        <w:t xml:space="preserve"> </w:t>
      </w:r>
    </w:p>
    <w:p w14:paraId="30590655" w14:textId="66CCB261" w:rsidR="00017F28" w:rsidRPr="00017F28" w:rsidRDefault="00017F28" w:rsidP="00017F28">
      <w:pPr>
        <w:pStyle w:val="a3"/>
        <w:rPr>
          <w:color w:val="auto"/>
          <w:lang w:val="en-US"/>
        </w:rPr>
      </w:pPr>
      <w:r w:rsidRPr="008C2D07">
        <w:t>Источник</w:t>
      </w:r>
      <w:r w:rsidRPr="00017F28">
        <w:rPr>
          <w:lang w:val="en-US"/>
        </w:rPr>
        <w:t xml:space="preserve">: </w:t>
      </w:r>
      <w:r w:rsidRPr="00B271C6">
        <w:rPr>
          <w:lang w:val="en-US"/>
        </w:rPr>
        <w:t>Russian</w:t>
      </w:r>
      <w:r w:rsidRPr="00017F28">
        <w:rPr>
          <w:lang w:val="en-US"/>
        </w:rPr>
        <w:t xml:space="preserve"> </w:t>
      </w:r>
      <w:r w:rsidRPr="00B271C6">
        <w:rPr>
          <w:lang w:val="en-US"/>
        </w:rPr>
        <w:t>Automotive</w:t>
      </w:r>
      <w:r w:rsidRPr="00017F28">
        <w:rPr>
          <w:lang w:val="en-US"/>
        </w:rPr>
        <w:t xml:space="preserve"> </w:t>
      </w:r>
      <w:r w:rsidRPr="00B271C6">
        <w:rPr>
          <w:lang w:val="en-US"/>
        </w:rPr>
        <w:t>Market</w:t>
      </w:r>
      <w:r w:rsidRPr="00017F28">
        <w:rPr>
          <w:lang w:val="en-US"/>
        </w:rPr>
        <w:t xml:space="preserve"> </w:t>
      </w:r>
      <w:r w:rsidRPr="00B271C6">
        <w:rPr>
          <w:lang w:val="en-US"/>
        </w:rPr>
        <w:t>Research</w:t>
      </w:r>
    </w:p>
    <w:sectPr w:rsidR="00017F28" w:rsidRPr="00017F28" w:rsidSect="00101AFD">
      <w:pgSz w:w="11906" w:h="16838"/>
      <w:pgMar w:top="1134" w:right="1701" w:bottom="1134" w:left="85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A0DD7" w14:textId="77777777" w:rsidR="00A117D1" w:rsidRDefault="00A117D1" w:rsidP="009D1239">
      <w:pPr>
        <w:spacing w:after="0" w:line="240" w:lineRule="auto"/>
      </w:pPr>
      <w:r>
        <w:separator/>
      </w:r>
    </w:p>
  </w:endnote>
  <w:endnote w:type="continuationSeparator" w:id="0">
    <w:p w14:paraId="237C1D5A" w14:textId="77777777" w:rsidR="00A117D1" w:rsidRDefault="00A117D1" w:rsidP="009D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8C51A" w14:textId="77777777" w:rsidR="00A117D1" w:rsidRDefault="00A117D1" w:rsidP="009D1239">
      <w:pPr>
        <w:spacing w:after="0" w:line="240" w:lineRule="auto"/>
      </w:pPr>
      <w:r>
        <w:separator/>
      </w:r>
    </w:p>
  </w:footnote>
  <w:footnote w:type="continuationSeparator" w:id="0">
    <w:p w14:paraId="2065D98D" w14:textId="77777777" w:rsidR="00A117D1" w:rsidRDefault="00A117D1" w:rsidP="009D1239">
      <w:pPr>
        <w:spacing w:after="0" w:line="240" w:lineRule="auto"/>
      </w:pPr>
      <w:r>
        <w:continuationSeparator/>
      </w:r>
    </w:p>
  </w:footnote>
  <w:footnote w:id="1">
    <w:p w14:paraId="59A24C2B" w14:textId="05A168B2" w:rsidR="00FB414C" w:rsidRPr="00017F28" w:rsidRDefault="00FB414C" w:rsidP="00017F28">
      <w:pPr>
        <w:pStyle w:val="a8"/>
        <w:ind w:left="284"/>
        <w:rPr>
          <w:b w:val="0"/>
          <w:color w:val="auto"/>
          <w:lang w:val="en-US"/>
        </w:rPr>
      </w:pPr>
      <w:r w:rsidRPr="00FB414C">
        <w:rPr>
          <w:rStyle w:val="aa"/>
          <w:b w:val="0"/>
          <w:color w:val="auto"/>
        </w:rPr>
        <w:footnoteRef/>
      </w:r>
      <w:r w:rsidRPr="00FB414C">
        <w:rPr>
          <w:b w:val="0"/>
          <w:color w:val="auto"/>
          <w:lang w:val="en-US"/>
        </w:rPr>
        <w:t xml:space="preserve"> HAVAL, CHERY, GEELY, EXEED</w:t>
      </w:r>
      <w:r w:rsidR="001D15C9">
        <w:rPr>
          <w:b w:val="0"/>
          <w:color w:val="auto"/>
          <w:lang w:val="en-US"/>
        </w:rPr>
        <w:t xml:space="preserve"> </w:t>
      </w:r>
      <w:r w:rsidRPr="00FB414C">
        <w:rPr>
          <w:b w:val="0"/>
          <w:color w:val="auto"/>
        </w:rPr>
        <w:t>и</w:t>
      </w:r>
      <w:r w:rsidRPr="00FB414C">
        <w:rPr>
          <w:b w:val="0"/>
          <w:color w:val="auto"/>
          <w:lang w:val="en-US"/>
        </w:rPr>
        <w:t xml:space="preserve"> </w:t>
      </w:r>
      <w:r w:rsidRPr="00FB414C">
        <w:rPr>
          <w:b w:val="0"/>
          <w:color w:val="auto"/>
        </w:rPr>
        <w:t>другие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109E"/>
    <w:multiLevelType w:val="hybridMultilevel"/>
    <w:tmpl w:val="65E8E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55376"/>
    <w:multiLevelType w:val="hybridMultilevel"/>
    <w:tmpl w:val="3C2C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A21F3"/>
    <w:multiLevelType w:val="hybridMultilevel"/>
    <w:tmpl w:val="2BA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31D4B"/>
    <w:multiLevelType w:val="hybridMultilevel"/>
    <w:tmpl w:val="F392F30A"/>
    <w:lvl w:ilvl="0" w:tplc="10EA42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94A010F"/>
    <w:multiLevelType w:val="hybridMultilevel"/>
    <w:tmpl w:val="61E85B76"/>
    <w:lvl w:ilvl="0" w:tplc="5608DD3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E481E"/>
    <w:multiLevelType w:val="hybridMultilevel"/>
    <w:tmpl w:val="1EEA65FA"/>
    <w:lvl w:ilvl="0" w:tplc="05B8ACD0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DF"/>
    <w:rsid w:val="00017F28"/>
    <w:rsid w:val="00032345"/>
    <w:rsid w:val="00032530"/>
    <w:rsid w:val="00053173"/>
    <w:rsid w:val="0006745B"/>
    <w:rsid w:val="00073FC9"/>
    <w:rsid w:val="00074928"/>
    <w:rsid w:val="000B4927"/>
    <w:rsid w:val="000B5F77"/>
    <w:rsid w:val="000C08DF"/>
    <w:rsid w:val="000C41C3"/>
    <w:rsid w:val="000D57A7"/>
    <w:rsid w:val="000F1CCD"/>
    <w:rsid w:val="00101AFD"/>
    <w:rsid w:val="00137DF9"/>
    <w:rsid w:val="00145D6F"/>
    <w:rsid w:val="00180E77"/>
    <w:rsid w:val="0019099D"/>
    <w:rsid w:val="00194E20"/>
    <w:rsid w:val="001A7E22"/>
    <w:rsid w:val="001D15C9"/>
    <w:rsid w:val="001D7DBB"/>
    <w:rsid w:val="00200A7F"/>
    <w:rsid w:val="00277896"/>
    <w:rsid w:val="002C1226"/>
    <w:rsid w:val="002C1760"/>
    <w:rsid w:val="002C5458"/>
    <w:rsid w:val="00302B6B"/>
    <w:rsid w:val="003041B1"/>
    <w:rsid w:val="003141CF"/>
    <w:rsid w:val="00314FE2"/>
    <w:rsid w:val="00323DC4"/>
    <w:rsid w:val="003269E8"/>
    <w:rsid w:val="00343069"/>
    <w:rsid w:val="0034672D"/>
    <w:rsid w:val="003A11B5"/>
    <w:rsid w:val="003B2850"/>
    <w:rsid w:val="003B7D26"/>
    <w:rsid w:val="003C43B9"/>
    <w:rsid w:val="003E6C10"/>
    <w:rsid w:val="003F5D87"/>
    <w:rsid w:val="00412C2C"/>
    <w:rsid w:val="00436B47"/>
    <w:rsid w:val="004527D5"/>
    <w:rsid w:val="004625B6"/>
    <w:rsid w:val="00487D90"/>
    <w:rsid w:val="004D5D73"/>
    <w:rsid w:val="004F04A1"/>
    <w:rsid w:val="004F6375"/>
    <w:rsid w:val="005272AE"/>
    <w:rsid w:val="0053585B"/>
    <w:rsid w:val="0054039E"/>
    <w:rsid w:val="00550F18"/>
    <w:rsid w:val="00551FCD"/>
    <w:rsid w:val="005844F6"/>
    <w:rsid w:val="00597C77"/>
    <w:rsid w:val="00597D0A"/>
    <w:rsid w:val="005B51B8"/>
    <w:rsid w:val="00604ADA"/>
    <w:rsid w:val="00612DF4"/>
    <w:rsid w:val="006169AE"/>
    <w:rsid w:val="00632E17"/>
    <w:rsid w:val="00634444"/>
    <w:rsid w:val="00655CDD"/>
    <w:rsid w:val="0066430D"/>
    <w:rsid w:val="006740CC"/>
    <w:rsid w:val="00685B1F"/>
    <w:rsid w:val="00694BED"/>
    <w:rsid w:val="006B7E68"/>
    <w:rsid w:val="006C43C1"/>
    <w:rsid w:val="006C5F7A"/>
    <w:rsid w:val="00711EA6"/>
    <w:rsid w:val="00711F74"/>
    <w:rsid w:val="00731B1B"/>
    <w:rsid w:val="007B7622"/>
    <w:rsid w:val="007C216D"/>
    <w:rsid w:val="007E1681"/>
    <w:rsid w:val="007F67F8"/>
    <w:rsid w:val="007F7E04"/>
    <w:rsid w:val="00815C0C"/>
    <w:rsid w:val="00854430"/>
    <w:rsid w:val="00860E52"/>
    <w:rsid w:val="008742F0"/>
    <w:rsid w:val="008838FB"/>
    <w:rsid w:val="008974FC"/>
    <w:rsid w:val="008A05B5"/>
    <w:rsid w:val="008A3F9B"/>
    <w:rsid w:val="008B22AF"/>
    <w:rsid w:val="008D516E"/>
    <w:rsid w:val="008D6164"/>
    <w:rsid w:val="008E2BE6"/>
    <w:rsid w:val="008E6F7A"/>
    <w:rsid w:val="008F7B4D"/>
    <w:rsid w:val="00907EBB"/>
    <w:rsid w:val="009254F2"/>
    <w:rsid w:val="00967471"/>
    <w:rsid w:val="00970125"/>
    <w:rsid w:val="00981982"/>
    <w:rsid w:val="00983433"/>
    <w:rsid w:val="009B5B44"/>
    <w:rsid w:val="009C4EC1"/>
    <w:rsid w:val="009D1239"/>
    <w:rsid w:val="009E2A65"/>
    <w:rsid w:val="009F301A"/>
    <w:rsid w:val="00A0109C"/>
    <w:rsid w:val="00A040DD"/>
    <w:rsid w:val="00A11283"/>
    <w:rsid w:val="00A117D1"/>
    <w:rsid w:val="00A14A0E"/>
    <w:rsid w:val="00A26DF5"/>
    <w:rsid w:val="00A40A1D"/>
    <w:rsid w:val="00A6617B"/>
    <w:rsid w:val="00AA72F4"/>
    <w:rsid w:val="00AB5FC2"/>
    <w:rsid w:val="00AC4645"/>
    <w:rsid w:val="00AE164A"/>
    <w:rsid w:val="00AF34D7"/>
    <w:rsid w:val="00B02146"/>
    <w:rsid w:val="00B16072"/>
    <w:rsid w:val="00B234D5"/>
    <w:rsid w:val="00B271C6"/>
    <w:rsid w:val="00B3194F"/>
    <w:rsid w:val="00B331A5"/>
    <w:rsid w:val="00B4130B"/>
    <w:rsid w:val="00B53D02"/>
    <w:rsid w:val="00B61E13"/>
    <w:rsid w:val="00B8789F"/>
    <w:rsid w:val="00B944A4"/>
    <w:rsid w:val="00BA50BC"/>
    <w:rsid w:val="00BA581C"/>
    <w:rsid w:val="00BE2687"/>
    <w:rsid w:val="00C13C20"/>
    <w:rsid w:val="00C143B7"/>
    <w:rsid w:val="00C2035C"/>
    <w:rsid w:val="00C24D74"/>
    <w:rsid w:val="00C5106D"/>
    <w:rsid w:val="00C8017E"/>
    <w:rsid w:val="00C9254A"/>
    <w:rsid w:val="00CA021B"/>
    <w:rsid w:val="00CA15F4"/>
    <w:rsid w:val="00CC5E5D"/>
    <w:rsid w:val="00CE3809"/>
    <w:rsid w:val="00CF1E74"/>
    <w:rsid w:val="00D02783"/>
    <w:rsid w:val="00D05C50"/>
    <w:rsid w:val="00D07630"/>
    <w:rsid w:val="00D20502"/>
    <w:rsid w:val="00D374CB"/>
    <w:rsid w:val="00D405A7"/>
    <w:rsid w:val="00D859D7"/>
    <w:rsid w:val="00D87CEC"/>
    <w:rsid w:val="00DD0CB4"/>
    <w:rsid w:val="00DD13CC"/>
    <w:rsid w:val="00E13592"/>
    <w:rsid w:val="00E30F26"/>
    <w:rsid w:val="00E34EB0"/>
    <w:rsid w:val="00E37032"/>
    <w:rsid w:val="00E42072"/>
    <w:rsid w:val="00E75258"/>
    <w:rsid w:val="00E810DE"/>
    <w:rsid w:val="00E827D7"/>
    <w:rsid w:val="00E9499B"/>
    <w:rsid w:val="00EB4846"/>
    <w:rsid w:val="00EC57B8"/>
    <w:rsid w:val="00EC6FA9"/>
    <w:rsid w:val="00EF0609"/>
    <w:rsid w:val="00F1340A"/>
    <w:rsid w:val="00F15332"/>
    <w:rsid w:val="00F15B07"/>
    <w:rsid w:val="00F31977"/>
    <w:rsid w:val="00F405A9"/>
    <w:rsid w:val="00F5003D"/>
    <w:rsid w:val="00F64C5B"/>
    <w:rsid w:val="00FB2190"/>
    <w:rsid w:val="00FB414C"/>
    <w:rsid w:val="00FB54E5"/>
    <w:rsid w:val="00FC04B0"/>
    <w:rsid w:val="00FC1477"/>
    <w:rsid w:val="00FD529C"/>
    <w:rsid w:val="00FD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7737F"/>
  <w15:docId w15:val="{696E2D94-CB4E-4EF8-9085-5C0238A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аголовок1"/>
    <w:qFormat/>
    <w:rsid w:val="0053585B"/>
    <w:rPr>
      <w:b/>
      <w:color w:val="FF0000"/>
      <w:sz w:val="28"/>
    </w:rPr>
  </w:style>
  <w:style w:type="paragraph" w:styleId="1">
    <w:name w:val="heading 1"/>
    <w:basedOn w:val="a"/>
    <w:link w:val="10"/>
    <w:uiPriority w:val="9"/>
    <w:qFormat/>
    <w:rsid w:val="00DD0CB4"/>
    <w:pPr>
      <w:spacing w:before="100" w:beforeAutospacing="1" w:after="100" w:afterAutospacing="1" w:line="240" w:lineRule="auto"/>
      <w:outlineLvl w:val="0"/>
    </w:pPr>
    <w:rPr>
      <w:rFonts w:ascii="Arial" w:eastAsia="Times New Roman" w:hAnsi="Arial"/>
      <w:bCs/>
      <w:kern w:val="36"/>
      <w:sz w:val="24"/>
      <w:szCs w:val="48"/>
    </w:rPr>
  </w:style>
  <w:style w:type="paragraph" w:styleId="2">
    <w:name w:val="heading 2"/>
    <w:basedOn w:val="a"/>
    <w:next w:val="a"/>
    <w:link w:val="20"/>
    <w:unhideWhenUsed/>
    <w:qFormat/>
    <w:rsid w:val="00DD0CB4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70C0"/>
      <w:sz w:val="22"/>
      <w:szCs w:val="26"/>
    </w:rPr>
  </w:style>
  <w:style w:type="paragraph" w:styleId="3">
    <w:name w:val="heading 3"/>
    <w:basedOn w:val="a"/>
    <w:next w:val="a"/>
    <w:link w:val="30"/>
    <w:qFormat/>
    <w:rsid w:val="00DD0CB4"/>
    <w:pPr>
      <w:keepNext/>
      <w:keepLines/>
      <w:spacing w:before="240" w:after="240" w:line="240" w:lineRule="auto"/>
      <w:ind w:left="709"/>
      <w:outlineLvl w:val="2"/>
    </w:pPr>
    <w:rPr>
      <w:rFonts w:ascii="Arial" w:eastAsia="Times New Roman" w:hAnsi="Arial" w:cs="Calibri Light"/>
      <w:color w:val="0070C0"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CB4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20">
    <w:name w:val="Заголовок 2 Знак"/>
    <w:basedOn w:val="a0"/>
    <w:link w:val="2"/>
    <w:rsid w:val="00DD0CB4"/>
    <w:rPr>
      <w:rFonts w:ascii="Arial" w:eastAsiaTheme="majorEastAsia" w:hAnsi="Arial" w:cstheme="majorBidi"/>
      <w:b/>
      <w:color w:val="0070C0"/>
      <w:szCs w:val="26"/>
    </w:rPr>
  </w:style>
  <w:style w:type="character" w:customStyle="1" w:styleId="30">
    <w:name w:val="Заголовок 3 Знак"/>
    <w:basedOn w:val="a0"/>
    <w:link w:val="3"/>
    <w:rsid w:val="00DD0CB4"/>
    <w:rPr>
      <w:rFonts w:ascii="Arial" w:eastAsia="Times New Roman" w:hAnsi="Arial" w:cs="Calibri Light"/>
      <w:b/>
      <w:color w:val="0070C0"/>
      <w:sz w:val="20"/>
      <w:szCs w:val="24"/>
      <w:lang w:val="en-US"/>
    </w:rPr>
  </w:style>
  <w:style w:type="paragraph" w:customStyle="1" w:styleId="a3">
    <w:name w:val="Источник"/>
    <w:basedOn w:val="a"/>
    <w:autoRedefine/>
    <w:qFormat/>
    <w:rsid w:val="00017F28"/>
    <w:pPr>
      <w:spacing w:before="120" w:after="120" w:line="240" w:lineRule="auto"/>
      <w:jc w:val="right"/>
    </w:pPr>
    <w:rPr>
      <w:rFonts w:ascii="Arial" w:eastAsia="Calibri" w:hAnsi="Arial" w:cs="Calibri"/>
      <w:b w:val="0"/>
      <w:i/>
      <w:color w:val="000000" w:themeColor="text1"/>
      <w:sz w:val="16"/>
    </w:rPr>
  </w:style>
  <w:style w:type="paragraph" w:customStyle="1" w:styleId="a4">
    <w:name w:val="Названия таблиц и диаграмм"/>
    <w:basedOn w:val="a"/>
    <w:qFormat/>
    <w:rsid w:val="000C08DF"/>
    <w:pPr>
      <w:spacing w:before="120" w:after="120" w:line="240" w:lineRule="auto"/>
      <w:jc w:val="center"/>
    </w:pPr>
    <w:rPr>
      <w:rFonts w:ascii="Arial" w:eastAsia="Calibri" w:hAnsi="Arial" w:cs="Calibri"/>
      <w:color w:val="0070C0"/>
      <w:sz w:val="20"/>
    </w:rPr>
  </w:style>
  <w:style w:type="paragraph" w:styleId="a5">
    <w:name w:val="List Paragraph"/>
    <w:basedOn w:val="a"/>
    <w:uiPriority w:val="34"/>
    <w:qFormat/>
    <w:rsid w:val="003269E8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6C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DF4"/>
    <w:rPr>
      <w:rFonts w:ascii="Tahoma" w:hAnsi="Tahoma" w:cs="Tahoma"/>
      <w:b/>
      <w:color w:val="FF0000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9D123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D1239"/>
    <w:rPr>
      <w:b/>
      <w:color w:val="FF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D12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7295622895622894E-2"/>
          <c:y val="4.39786428940259E-2"/>
          <c:w val="0.84831127946128004"/>
          <c:h val="0.73105642885706101"/>
        </c:manualLayout>
      </c:layout>
      <c:lineChart>
        <c:grouping val="standard"/>
        <c:varyColors val="0"/>
        <c:ser>
          <c:idx val="0"/>
          <c:order val="0"/>
          <c:tx>
            <c:strRef>
              <c:f>'общий объем продаж'!$B$3</c:f>
              <c:strCache>
                <c:ptCount val="1"/>
                <c:pt idx="0">
                  <c:v>Объем продаж новых легковых автомобилей</c:v>
                </c:pt>
              </c:strCache>
            </c:strRef>
          </c:tx>
          <c:spPr>
            <a:ln w="127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'общий объем продаж'!$C$2:$L$2</c:f>
              <c:numCache>
                <c:formatCode>General</c:formatCode>
                <c:ptCount val="10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  <c:pt idx="9">
                  <c:v>2022</c:v>
                </c:pt>
              </c:numCache>
            </c:numRef>
          </c:cat>
          <c:val>
            <c:numRef>
              <c:f>'общий объем продаж'!$C$3:$L$3</c:f>
              <c:numCache>
                <c:formatCode>General</c:formatCode>
                <c:ptCount val="10"/>
                <c:pt idx="0">
                  <c:v>2458049</c:v>
                </c:pt>
                <c:pt idx="1">
                  <c:v>2268760</c:v>
                </c:pt>
                <c:pt idx="2">
                  <c:v>1282740</c:v>
                </c:pt>
                <c:pt idx="3">
                  <c:v>1239675</c:v>
                </c:pt>
                <c:pt idx="4">
                  <c:v>1449998</c:v>
                </c:pt>
                <c:pt idx="5">
                  <c:v>1623760</c:v>
                </c:pt>
                <c:pt idx="6">
                  <c:v>1586786</c:v>
                </c:pt>
                <c:pt idx="7">
                  <c:v>1457245</c:v>
                </c:pt>
                <c:pt idx="8">
                  <c:v>1511500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B56-4B80-9577-A1B6A50B0196}"/>
            </c:ext>
          </c:extLst>
        </c:ser>
        <c:ser>
          <c:idx val="1"/>
          <c:order val="1"/>
          <c:tx>
            <c:strRef>
              <c:f>'общий объем продаж'!$B$7</c:f>
              <c:strCache>
                <c:ptCount val="1"/>
                <c:pt idx="0">
                  <c:v>Прогноз: Базовый сценарий</c:v>
                </c:pt>
              </c:strCache>
            </c:strRef>
          </c:tx>
          <c:spPr>
            <a:ln w="12700" cap="rnd">
              <a:solidFill>
                <a:srgbClr val="00B050"/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56-4B80-9577-A1B6A50B0196}"/>
                </c:ext>
              </c:extLst>
            </c:dLbl>
            <c:dLbl>
              <c:idx val="3"/>
              <c:layout>
                <c:manualLayout>
                  <c:x val="-1.0849131944444401E-2"/>
                  <c:y val="1.213888888888890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B56-4B80-9577-A1B6A50B0196}"/>
                </c:ext>
              </c:extLst>
            </c:dLbl>
            <c:dLbl>
              <c:idx val="4"/>
              <c:layout>
                <c:manualLayout>
                  <c:x val="-4.9296875E-3"/>
                  <c:y val="-7.42805555555554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56-4B80-9577-A1B6A50B0196}"/>
                </c:ext>
              </c:extLst>
            </c:dLbl>
            <c:dLbl>
              <c:idx val="5"/>
              <c:layout>
                <c:manualLayout>
                  <c:x val="-3.5944444444445198E-3"/>
                  <c:y val="-1.503805555555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B56-4B80-9577-A1B6A50B0196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B56-4B80-9577-A1B6A50B0196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B56-4B80-9577-A1B6A50B0196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B56-4B80-9577-A1B6A50B0196}"/>
                </c:ext>
              </c:extLst>
            </c:dLbl>
            <c:dLbl>
              <c:idx val="9"/>
              <c:layout>
                <c:manualLayout>
                  <c:x val="-1.1178909944784694E-2"/>
                  <c:y val="-4.7916490988587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B56-4B80-9577-A1B6A50B0196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'общий объем продаж'!$C$2:$L$2</c:f>
              <c:numCache>
                <c:formatCode>General</c:formatCode>
                <c:ptCount val="10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  <c:pt idx="9">
                  <c:v>2022</c:v>
                </c:pt>
              </c:numCache>
            </c:numRef>
          </c:cat>
          <c:val>
            <c:numRef>
              <c:f>'общий объем продаж'!$C$7:$L$7</c:f>
              <c:numCache>
                <c:formatCode>General</c:formatCode>
                <c:ptCount val="10"/>
                <c:pt idx="8" formatCode="#,##0">
                  <c:v>1511500</c:v>
                </c:pt>
                <c:pt idx="9" formatCode="#,##0">
                  <c:v>454199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9B56-4B80-9577-A1B6A50B0196}"/>
            </c:ext>
          </c:extLst>
        </c:ser>
        <c:ser>
          <c:idx val="6"/>
          <c:order val="2"/>
          <c:tx>
            <c:strRef>
              <c:f>'общий объем продаж'!$B$5</c:f>
              <c:strCache>
                <c:ptCount val="1"/>
                <c:pt idx="0">
                  <c:v>Прогноз: Оптимистичный сценарий</c:v>
                </c:pt>
              </c:strCache>
            </c:strRef>
          </c:tx>
          <c:spPr>
            <a:ln w="12700" cap="rnd">
              <a:solidFill>
                <a:srgbClr val="00B0F0"/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1.71387152777778E-2"/>
                  <c:y val="-2.3488333333333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B56-4B80-9577-A1B6A50B0196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B56-4B80-9577-A1B6A50B019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B56-4B80-9577-A1B6A50B0196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B56-4B80-9577-A1B6A50B0196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B56-4B80-9577-A1B6A50B0196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B56-4B80-9577-A1B6A50B0196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B56-4B80-9577-A1B6A50B0196}"/>
                </c:ext>
              </c:extLst>
            </c:dLbl>
            <c:dLbl>
              <c:idx val="9"/>
              <c:layout>
                <c:manualLayout>
                  <c:x val="-9.3157582873205774E-3"/>
                  <c:y val="-1.47154562187587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B56-4B80-9577-A1B6A50B0196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'общий объем продаж'!$C$2:$L$2</c:f>
              <c:numCache>
                <c:formatCode>General</c:formatCode>
                <c:ptCount val="10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  <c:pt idx="9">
                  <c:v>2022</c:v>
                </c:pt>
              </c:numCache>
            </c:numRef>
          </c:cat>
          <c:val>
            <c:numRef>
              <c:f>'общий объем продаж'!$C$5:$L$5</c:f>
              <c:numCache>
                <c:formatCode>General</c:formatCode>
                <c:ptCount val="10"/>
                <c:pt idx="8" formatCode="#,##0">
                  <c:v>1511500</c:v>
                </c:pt>
                <c:pt idx="9" formatCode="#,##0">
                  <c:v>518661.67200000002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9B56-4B80-9577-A1B6A50B0196}"/>
            </c:ext>
          </c:extLst>
        </c:ser>
        <c:ser>
          <c:idx val="7"/>
          <c:order val="3"/>
          <c:tx>
            <c:strRef>
              <c:f>'общий объем продаж'!$B$9</c:f>
              <c:strCache>
                <c:ptCount val="1"/>
                <c:pt idx="0">
                  <c:v>Прогноз: Пессимистичный сценарий</c:v>
                </c:pt>
              </c:strCache>
            </c:strRef>
          </c:tx>
          <c:spPr>
            <a:ln w="12700" cap="rnd">
              <a:solidFill>
                <a:srgbClr val="7030A0"/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B56-4B80-9577-A1B6A50B019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B56-4B80-9577-A1B6A50B0196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B56-4B80-9577-A1B6A50B019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B56-4B80-9577-A1B6A50B0196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B56-4B80-9577-A1B6A50B0196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9B56-4B80-9577-A1B6A50B0196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B56-4B80-9577-A1B6A50B0196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9B56-4B80-9577-A1B6A50B0196}"/>
                </c:ext>
              </c:extLst>
            </c:dLbl>
            <c:dLbl>
              <c:idx val="9"/>
              <c:layout>
                <c:manualLayout>
                  <c:x val="-1.4905213259712925E-2"/>
                  <c:y val="2.0034752661298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9B56-4B80-9577-A1B6A50B0196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'общий объем продаж'!$C$2:$L$2</c:f>
              <c:numCache>
                <c:formatCode>General</c:formatCode>
                <c:ptCount val="10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  <c:pt idx="9">
                  <c:v>2022</c:v>
                </c:pt>
              </c:numCache>
            </c:numRef>
          </c:cat>
          <c:val>
            <c:numRef>
              <c:f>'общий объем продаж'!$C$9:$L$9</c:f>
              <c:numCache>
                <c:formatCode>General</c:formatCode>
                <c:ptCount val="10"/>
                <c:pt idx="8" formatCode="#,##0">
                  <c:v>1511500</c:v>
                </c:pt>
                <c:pt idx="9" formatCode="#,##0">
                  <c:v>394133.26480000006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9B56-4B80-9577-A1B6A50B01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30562816"/>
        <c:axId val="230493568"/>
      </c:lineChart>
      <c:catAx>
        <c:axId val="230562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493568"/>
        <c:crosses val="autoZero"/>
        <c:auto val="1"/>
        <c:lblAlgn val="ctr"/>
        <c:lblOffset val="100"/>
        <c:noMultiLvlLbl val="0"/>
      </c:catAx>
      <c:valAx>
        <c:axId val="23049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562816"/>
        <c:crosses val="autoZero"/>
        <c:crossBetween val="between"/>
        <c:majorUnit val="100000"/>
        <c:dispUnits>
          <c:builtInUnit val="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768402777777799E-2"/>
          <c:y val="0.85695666666666703"/>
          <c:w val="0.97467013888888898"/>
          <c:h val="8.7541932794881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6403214798667633E-2"/>
          <c:y val="3.0202072124337041E-2"/>
          <c:w val="0.86714425015348917"/>
          <c:h val="0.82782969288862096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LADA!$A$3</c:f>
              <c:strCache>
                <c:ptCount val="1"/>
                <c:pt idx="0">
                  <c:v>Объем продаж LADA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B49-45CA-8764-D1A9210D5153}"/>
              </c:ext>
            </c:extLst>
          </c:dPt>
          <c:dPt>
            <c:idx val="1"/>
            <c:invertIfNegative val="0"/>
            <c:bubble3D val="0"/>
            <c:spPr>
              <a:pattFill prst="pct20">
                <a:fgClr>
                  <a:srgbClr val="FF0000"/>
                </a:fgClr>
                <a:bgClr>
                  <a:sysClr val="window" lastClr="FFFFFF"/>
                </a:bgClr>
              </a:patt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B49-45CA-8764-D1A9210D515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BB56C9E-7C95-4EE6-A33B-F096285ECB24}" type="VALUE">
                      <a:rPr lang="en-US" sz="1050"/>
                      <a:pPr/>
                      <a:t>[ЗНАЧЕНИЕ]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B49-45CA-8764-D1A9210D5153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B49-45CA-8764-D1A9210D5153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KIA!$J$2:$K$2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LADA!$J$6:$K$6</c:f>
              <c:numCache>
                <c:formatCode>#,##0</c:formatCode>
                <c:ptCount val="2"/>
                <c:pt idx="0">
                  <c:v>338071</c:v>
                </c:pt>
                <c:pt idx="1">
                  <c:v>95369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B49-45CA-8764-D1A9210D51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230560256"/>
        <c:axId val="230497024"/>
      </c:barChart>
      <c:catAx>
        <c:axId val="230560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497024"/>
        <c:crosses val="autoZero"/>
        <c:auto val="1"/>
        <c:lblAlgn val="ctr"/>
        <c:lblOffset val="100"/>
        <c:noMultiLvlLbl val="0"/>
      </c:catAx>
      <c:valAx>
        <c:axId val="23049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560256"/>
        <c:crosses val="autoZero"/>
        <c:crossBetween val="between"/>
        <c:dispUnits>
          <c:builtInUnit val="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175499893043771"/>
          <c:y val="0.90726640975807948"/>
          <c:w val="0.16237733602128379"/>
          <c:h val="6.96300091868570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345954785758801"/>
          <c:y val="3.0202072124337041E-2"/>
          <c:w val="0.86244002811420883"/>
          <c:h val="0.82782969288862096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KIA!$A$3</c:f>
              <c:strCache>
                <c:ptCount val="1"/>
                <c:pt idx="0">
                  <c:v>Объем продаж KIA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56B-42BF-B708-4B97AB8E8B7D}"/>
              </c:ext>
            </c:extLst>
          </c:dPt>
          <c:dPt>
            <c:idx val="1"/>
            <c:invertIfNegative val="0"/>
            <c:bubble3D val="0"/>
            <c:spPr>
              <a:pattFill prst="pct20">
                <a:fgClr>
                  <a:srgbClr val="FF0000"/>
                </a:fgClr>
                <a:bgClr>
                  <a:sysClr val="window" lastClr="FFFFFF"/>
                </a:bgClr>
              </a:patt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56B-42BF-B708-4B97AB8E8B7D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6B-42BF-B708-4B97AB8E8B7D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KIA!$J$2:$K$2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KIA!$J$6:$K$6</c:f>
              <c:numCache>
                <c:formatCode>#,##0</c:formatCode>
                <c:ptCount val="2"/>
                <c:pt idx="0">
                  <c:v>205801</c:v>
                </c:pt>
                <c:pt idx="1">
                  <c:v>54041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6B-42BF-B708-4B97AB8E8B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232616448"/>
        <c:axId val="134767744"/>
      </c:barChart>
      <c:catAx>
        <c:axId val="232616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4767744"/>
        <c:crosses val="autoZero"/>
        <c:auto val="1"/>
        <c:lblAlgn val="ctr"/>
        <c:lblOffset val="100"/>
        <c:noMultiLvlLbl val="0"/>
      </c:catAx>
      <c:valAx>
        <c:axId val="134767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2616448"/>
        <c:crosses val="autoZero"/>
        <c:crossBetween val="between"/>
        <c:dispUnits>
          <c:builtInUnit val="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73702565375259"/>
          <c:y val="0.91288857899642062"/>
          <c:w val="0.2017242640624291"/>
          <c:h val="6.59436665495310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6403214798667633E-2"/>
          <c:y val="3.0202072124337041E-2"/>
          <c:w val="0.87464169384161583"/>
          <c:h val="0.82782969288862096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HYUNDAI!$A$3</c:f>
              <c:strCache>
                <c:ptCount val="1"/>
                <c:pt idx="0">
                  <c:v>Объем продаж HYUNDAI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C71-4C71-A7D1-5DF79130D9FB}"/>
              </c:ext>
            </c:extLst>
          </c:dPt>
          <c:dPt>
            <c:idx val="1"/>
            <c:invertIfNegative val="0"/>
            <c:bubble3D val="0"/>
            <c:spPr>
              <a:pattFill prst="pct20">
                <a:fgClr>
                  <a:srgbClr val="FF0000"/>
                </a:fgClr>
                <a:bgClr>
                  <a:sysClr val="window" lastClr="FFFFFF"/>
                </a:bgClr>
              </a:patt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71-4C71-A7D1-5DF79130D9FB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71-4C71-A7D1-5DF79130D9FB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KIA!$J$2:$K$2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HYUNDAI!$J$6:$K$6</c:f>
              <c:numCache>
                <c:formatCode>#,##0</c:formatCode>
                <c:ptCount val="2"/>
                <c:pt idx="0">
                  <c:v>165535</c:v>
                </c:pt>
                <c:pt idx="1">
                  <c:v>45031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71-4C71-A7D1-5DF79130D9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232617984"/>
        <c:axId val="134769472"/>
      </c:barChart>
      <c:catAx>
        <c:axId val="232617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4769472"/>
        <c:crosses val="autoZero"/>
        <c:auto val="1"/>
        <c:lblAlgn val="ctr"/>
        <c:lblOffset val="100"/>
        <c:noMultiLvlLbl val="0"/>
      </c:catAx>
      <c:valAx>
        <c:axId val="13476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2617984"/>
        <c:crosses val="autoZero"/>
        <c:crossBetween val="between"/>
        <c:dispUnits>
          <c:builtInUnit val="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1198164320719685E-2"/>
          <c:y val="2.7160043747721473E-2"/>
          <c:w val="0.89646673113229247"/>
          <c:h val="0.82782969288862096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Китайцы!$A$3</c:f>
              <c:strCache>
                <c:ptCount val="1"/>
                <c:pt idx="0">
                  <c:v>Объем продаж по китайским брендам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E17-4E1F-972C-ED75822BD2CC}"/>
              </c:ext>
            </c:extLst>
          </c:dPt>
          <c:dPt>
            <c:idx val="1"/>
            <c:invertIfNegative val="0"/>
            <c:bubble3D val="0"/>
            <c:spPr>
              <a:pattFill prst="pct20">
                <a:fgClr>
                  <a:srgbClr val="FF0000"/>
                </a:fgClr>
                <a:bgClr>
                  <a:sysClr val="window" lastClr="FFFFFF"/>
                </a:bgClr>
              </a:patt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E17-4E1F-972C-ED75822BD2CC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17-4E1F-972C-ED75822BD2CC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KIA!$J$2:$K$2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Китайцы!$J$6:$K$6</c:f>
              <c:numCache>
                <c:formatCode>#,##0</c:formatCode>
                <c:ptCount val="2"/>
                <c:pt idx="0">
                  <c:v>113967</c:v>
                </c:pt>
                <c:pt idx="1">
                  <c:v>69601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17-4E1F-972C-ED75822BD2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234591232"/>
        <c:axId val="230497600"/>
      </c:barChart>
      <c:catAx>
        <c:axId val="234591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497600"/>
        <c:crosses val="autoZero"/>
        <c:auto val="1"/>
        <c:lblAlgn val="ctr"/>
        <c:lblOffset val="100"/>
        <c:noMultiLvlLbl val="0"/>
      </c:catAx>
      <c:valAx>
        <c:axId val="230497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4591232"/>
        <c:crosses val="autoZero"/>
        <c:crossBetween val="between"/>
        <c:dispUnits>
          <c:builtInUnit val="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DE2-4937-A282-03F8B94580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DE2-4937-A282-03F8B94580F1}"/>
              </c:ext>
            </c:extLst>
          </c:dPt>
          <c:dPt>
            <c:idx val="2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DE2-4937-A282-03F8B94580F1}"/>
              </c:ext>
            </c:extLst>
          </c:dPt>
          <c:dPt>
            <c:idx val="3"/>
            <c:bubble3D val="0"/>
            <c:spPr>
              <a:solidFill>
                <a:srgbClr val="92D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DE2-4937-A282-03F8B94580F1}"/>
              </c:ext>
            </c:extLst>
          </c:dPt>
          <c:dPt>
            <c:idx val="4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DE2-4937-A282-03F8B94580F1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DE2-4937-A282-03F8B94580F1}"/>
              </c:ext>
            </c:extLst>
          </c:dPt>
          <c:dPt>
            <c:idx val="6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ADE2-4937-A282-03F8B94580F1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'Корректировка (2)'!$A$3:$A$7</c:f>
              <c:strCache>
                <c:ptCount val="5"/>
                <c:pt idx="0">
                  <c:v>LADA</c:v>
                </c:pt>
                <c:pt idx="1">
                  <c:v>KIA</c:v>
                </c:pt>
                <c:pt idx="2">
                  <c:v>HYUNDAI</c:v>
                </c:pt>
                <c:pt idx="3">
                  <c:v>Китайские бренды</c:v>
                </c:pt>
                <c:pt idx="4">
                  <c:v>Другие</c:v>
                </c:pt>
              </c:strCache>
            </c:strRef>
          </c:cat>
          <c:val>
            <c:numRef>
              <c:f>'Корректировка (2)'!$B$3:$B$7</c:f>
              <c:numCache>
                <c:formatCode>0</c:formatCode>
                <c:ptCount val="5"/>
                <c:pt idx="0">
                  <c:v>95369</c:v>
                </c:pt>
                <c:pt idx="1">
                  <c:v>54041</c:v>
                </c:pt>
                <c:pt idx="2">
                  <c:v>45031</c:v>
                </c:pt>
                <c:pt idx="3" formatCode="#,##0">
                  <c:v>69601</c:v>
                </c:pt>
                <c:pt idx="4" formatCode="_-* #\ ##0\ _₽_-;\-* #\ ##0\ _₽_-;_-* &quot;-&quot;??\ _₽_-;_-@_-">
                  <c:v>190157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DE2-4937-A282-03F8B94580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0.71747</cdr:x>
      <cdr:y>0.56586</cdr:y>
    </cdr:from>
    <cdr:to>
      <cdr:x>0.77267</cdr:x>
      <cdr:y>0.75797</cdr:y>
    </cdr:to>
    <cdr:sp macro="" textlink="">
      <cdr:nvSpPr>
        <cdr:cNvPr id="2" name="Двойная стрелка вверх/вниз 1"/>
        <cdr:cNvSpPr/>
      </cdr:nvSpPr>
      <cdr:spPr>
        <a:xfrm xmlns:a="http://schemas.openxmlformats.org/drawingml/2006/main">
          <a:off x="3873886" y="1866314"/>
          <a:ext cx="298047" cy="633615"/>
        </a:xfrm>
        <a:prstGeom xmlns:a="http://schemas.openxmlformats.org/drawingml/2006/main" prst="upDownArrow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0.35199</cdr:x>
      <cdr:y>0.57541</cdr:y>
    </cdr:from>
    <cdr:to>
      <cdr:x>0.65781</cdr:x>
      <cdr:y>0.67676</cdr:y>
    </cdr:to>
    <cdr:sp macro="" textlink="">
      <cdr:nvSpPr>
        <cdr:cNvPr id="14" name="Стрелка вправо 13"/>
        <cdr:cNvSpPr/>
      </cdr:nvSpPr>
      <cdr:spPr>
        <a:xfrm xmlns:a="http://schemas.openxmlformats.org/drawingml/2006/main" rot="2378337">
          <a:off x="1900534" y="2071358"/>
          <a:ext cx="1651226" cy="364842"/>
        </a:xfrm>
        <a:prstGeom xmlns:a="http://schemas.openxmlformats.org/drawingml/2006/main" prst="rightArrow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000" b="1">
              <a:solidFill>
                <a:sysClr val="windowText" lastClr="000000"/>
              </a:solidFill>
            </a:rPr>
            <a:t>-</a:t>
          </a:r>
          <a:r>
            <a:rPr lang="ru-RU" sz="1050" b="1">
              <a:solidFill>
                <a:sysClr val="windowText" lastClr="000000"/>
              </a:solidFill>
            </a:rPr>
            <a:t>71,79%</a:t>
          </a:r>
          <a:r>
            <a:rPr lang="ru-RU" sz="1000" b="1">
              <a:solidFill>
                <a:sysClr val="windowText" lastClr="000000"/>
              </a:solidFill>
            </a:rPr>
            <a:t> </a:t>
          </a:r>
        </a:p>
      </cdr:txBody>
    </cdr:sp>
  </cdr:relSizeAnchor>
  <cdr:relSizeAnchor xmlns:cdr="http://schemas.openxmlformats.org/drawingml/2006/chartDrawing">
    <cdr:from>
      <cdr:x>0.69681</cdr:x>
      <cdr:y>0.49071</cdr:y>
    </cdr:from>
    <cdr:to>
      <cdr:x>0.80861</cdr:x>
      <cdr:y>0.57944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5A1A34FC-C49D-65A4-8F16-5A150C8D88BE}"/>
            </a:ext>
          </a:extLst>
        </cdr:cNvPr>
        <cdr:cNvSpPr txBox="1"/>
      </cdr:nvSpPr>
      <cdr:spPr>
        <a:xfrm xmlns:a="http://schemas.openxmlformats.org/drawingml/2006/main">
          <a:off x="3762375" y="1618455"/>
          <a:ext cx="603638" cy="2926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050" b="1"/>
            <a:t>114,2</a:t>
          </a:r>
        </a:p>
      </cdr:txBody>
    </cdr:sp>
  </cdr:relSizeAnchor>
  <cdr:relSizeAnchor xmlns:cdr="http://schemas.openxmlformats.org/drawingml/2006/chartDrawing">
    <cdr:from>
      <cdr:x>0.70563</cdr:x>
      <cdr:y>0.75626</cdr:y>
    </cdr:from>
    <cdr:to>
      <cdr:x>0.81385</cdr:x>
      <cdr:y>0.84499</cdr:y>
    </cdr:to>
    <cdr:sp macro="" textlink="">
      <cdr:nvSpPr>
        <cdr:cNvPr id="17" name="TextBox 1">
          <a:extLst xmlns:a="http://schemas.openxmlformats.org/drawingml/2006/main">
            <a:ext uri="{FF2B5EF4-FFF2-40B4-BE49-F238E27FC236}">
              <a16:creationId xmlns:a16="http://schemas.microsoft.com/office/drawing/2014/main" id="{98E274D1-A3A9-AA1B-C231-8B1EF5A35621}"/>
            </a:ext>
          </a:extLst>
        </cdr:cNvPr>
        <cdr:cNvSpPr txBox="1"/>
      </cdr:nvSpPr>
      <cdr:spPr>
        <a:xfrm xmlns:a="http://schemas.openxmlformats.org/drawingml/2006/main">
          <a:off x="3810000" y="2494289"/>
          <a:ext cx="584305" cy="2926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050" b="1"/>
            <a:t>89,1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0.71923</cdr:x>
      <cdr:y>0.55792</cdr:y>
    </cdr:from>
    <cdr:to>
      <cdr:x>0.7762</cdr:x>
      <cdr:y>0.75003</cdr:y>
    </cdr:to>
    <cdr:sp macro="" textlink="">
      <cdr:nvSpPr>
        <cdr:cNvPr id="2" name="Двойная стрелка вверх/вниз 1"/>
        <cdr:cNvSpPr/>
      </cdr:nvSpPr>
      <cdr:spPr>
        <a:xfrm xmlns:a="http://schemas.openxmlformats.org/drawingml/2006/main">
          <a:off x="3883401" y="2008409"/>
          <a:ext cx="307604" cy="691560"/>
        </a:xfrm>
        <a:prstGeom xmlns:a="http://schemas.openxmlformats.org/drawingml/2006/main" prst="upDownArrow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0.35396</cdr:x>
      <cdr:y>0.59149</cdr:y>
    </cdr:from>
    <cdr:to>
      <cdr:x>0.63542</cdr:x>
      <cdr:y>0.69284</cdr:y>
    </cdr:to>
    <cdr:sp macro="" textlink="">
      <cdr:nvSpPr>
        <cdr:cNvPr id="14" name="Стрелка вправо 13"/>
        <cdr:cNvSpPr/>
      </cdr:nvSpPr>
      <cdr:spPr>
        <a:xfrm xmlns:a="http://schemas.openxmlformats.org/drawingml/2006/main" rot="2378337">
          <a:off x="1911151" y="2129257"/>
          <a:ext cx="1519731" cy="364842"/>
        </a:xfrm>
        <a:prstGeom xmlns:a="http://schemas.openxmlformats.org/drawingml/2006/main" prst="rightArrow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050" b="1">
              <a:solidFill>
                <a:sysClr val="windowText" lastClr="000000"/>
              </a:solidFill>
            </a:rPr>
            <a:t>-7</a:t>
          </a:r>
          <a:r>
            <a:rPr lang="en-US" sz="1050" b="1">
              <a:solidFill>
                <a:sysClr val="windowText" lastClr="000000"/>
              </a:solidFill>
            </a:rPr>
            <a:t>3</a:t>
          </a:r>
          <a:r>
            <a:rPr lang="ru-RU" sz="1050" b="1">
              <a:solidFill>
                <a:sysClr val="windowText" lastClr="000000"/>
              </a:solidFill>
            </a:rPr>
            <a:t>,7</a:t>
          </a:r>
          <a:r>
            <a:rPr lang="en-US" sz="1050" b="1">
              <a:solidFill>
                <a:sysClr val="windowText" lastClr="000000"/>
              </a:solidFill>
            </a:rPr>
            <a:t>4</a:t>
          </a:r>
          <a:r>
            <a:rPr lang="ru-RU" sz="1050" b="1">
              <a:solidFill>
                <a:sysClr val="windowText" lastClr="000000"/>
              </a:solidFill>
            </a:rPr>
            <a:t>% </a:t>
          </a:r>
        </a:p>
      </cdr:txBody>
    </cdr:sp>
  </cdr:relSizeAnchor>
  <cdr:relSizeAnchor xmlns:cdr="http://schemas.openxmlformats.org/drawingml/2006/chartDrawing">
    <cdr:from>
      <cdr:x>0.70916</cdr:x>
      <cdr:y>0.47151</cdr:y>
    </cdr:from>
    <cdr:to>
      <cdr:x>0.81619</cdr:x>
      <cdr:y>0.56024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5A1A34FC-C49D-65A4-8F16-5A150C8D88BE}"/>
            </a:ext>
          </a:extLst>
        </cdr:cNvPr>
        <cdr:cNvSpPr txBox="1"/>
      </cdr:nvSpPr>
      <cdr:spPr>
        <a:xfrm xmlns:a="http://schemas.openxmlformats.org/drawingml/2006/main">
          <a:off x="3829050" y="1697349"/>
          <a:ext cx="577890" cy="3194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050" b="1"/>
            <a:t>61</a:t>
          </a:r>
          <a:r>
            <a:rPr lang="ru-RU" sz="1050" b="1"/>
            <a:t>,</a:t>
          </a:r>
          <a:r>
            <a:rPr lang="en-US" sz="1050" b="1"/>
            <a:t>4</a:t>
          </a:r>
          <a:endParaRPr lang="ru-RU" sz="1050" b="1"/>
        </a:p>
      </cdr:txBody>
    </cdr:sp>
  </cdr:relSizeAnchor>
  <cdr:relSizeAnchor xmlns:cdr="http://schemas.openxmlformats.org/drawingml/2006/chartDrawing">
    <cdr:from>
      <cdr:x>0.71445</cdr:x>
      <cdr:y>0.7522</cdr:y>
    </cdr:from>
    <cdr:to>
      <cdr:x>0.81739</cdr:x>
      <cdr:y>0.84093</cdr:y>
    </cdr:to>
    <cdr:sp macro="" textlink="">
      <cdr:nvSpPr>
        <cdr:cNvPr id="17" name="TextBox 1">
          <a:extLst xmlns:a="http://schemas.openxmlformats.org/drawingml/2006/main">
            <a:ext uri="{FF2B5EF4-FFF2-40B4-BE49-F238E27FC236}">
              <a16:creationId xmlns:a16="http://schemas.microsoft.com/office/drawing/2014/main" id="{98E274D1-A3A9-AA1B-C231-8B1EF5A35621}"/>
            </a:ext>
          </a:extLst>
        </cdr:cNvPr>
        <cdr:cNvSpPr txBox="1"/>
      </cdr:nvSpPr>
      <cdr:spPr>
        <a:xfrm xmlns:a="http://schemas.openxmlformats.org/drawingml/2006/main">
          <a:off x="3857624" y="2707781"/>
          <a:ext cx="555795" cy="3194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50" b="1"/>
            <a:t>50</a:t>
          </a:r>
          <a:r>
            <a:rPr lang="ru-RU" sz="1050" b="1"/>
            <a:t>,</a:t>
          </a:r>
          <a:r>
            <a:rPr lang="en-US" sz="1050" b="1"/>
            <a:t>2</a:t>
          </a:r>
          <a:endParaRPr lang="ru-RU" sz="1050" b="1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0.69453</cdr:x>
      <cdr:y>0.56586</cdr:y>
    </cdr:from>
    <cdr:to>
      <cdr:x>0.74973</cdr:x>
      <cdr:y>0.75797</cdr:y>
    </cdr:to>
    <cdr:sp macro="" textlink="">
      <cdr:nvSpPr>
        <cdr:cNvPr id="2" name="Двойная стрелка вверх/вниз 1"/>
        <cdr:cNvSpPr/>
      </cdr:nvSpPr>
      <cdr:spPr>
        <a:xfrm xmlns:a="http://schemas.openxmlformats.org/drawingml/2006/main">
          <a:off x="3750061" y="2036991"/>
          <a:ext cx="298047" cy="691561"/>
        </a:xfrm>
        <a:prstGeom xmlns:a="http://schemas.openxmlformats.org/drawingml/2006/main" prst="upDownArrow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0.38413</cdr:x>
      <cdr:y>0.57544</cdr:y>
    </cdr:from>
    <cdr:to>
      <cdr:x>0.64863</cdr:x>
      <cdr:y>0.67679</cdr:y>
    </cdr:to>
    <cdr:sp macro="" textlink="">
      <cdr:nvSpPr>
        <cdr:cNvPr id="14" name="Стрелка вправо 13"/>
        <cdr:cNvSpPr/>
      </cdr:nvSpPr>
      <cdr:spPr>
        <a:xfrm xmlns:a="http://schemas.openxmlformats.org/drawingml/2006/main" rot="2378337">
          <a:off x="2074079" y="2071469"/>
          <a:ext cx="1428151" cy="364842"/>
        </a:xfrm>
        <a:prstGeom xmlns:a="http://schemas.openxmlformats.org/drawingml/2006/main" prst="rightArrow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050" b="1">
              <a:solidFill>
                <a:sysClr val="windowText" lastClr="000000"/>
              </a:solidFill>
            </a:rPr>
            <a:t>-7</a:t>
          </a:r>
          <a:r>
            <a:rPr lang="en-US" sz="1050" b="1">
              <a:solidFill>
                <a:sysClr val="windowText" lastClr="000000"/>
              </a:solidFill>
            </a:rPr>
            <a:t>2</a:t>
          </a:r>
          <a:r>
            <a:rPr lang="ru-RU" sz="1050" b="1">
              <a:solidFill>
                <a:sysClr val="windowText" lastClr="000000"/>
              </a:solidFill>
            </a:rPr>
            <a:t>,</a:t>
          </a:r>
          <a:r>
            <a:rPr lang="en-US" sz="1050" b="1">
              <a:solidFill>
                <a:sysClr val="windowText" lastClr="000000"/>
              </a:solidFill>
            </a:rPr>
            <a:t>80</a:t>
          </a:r>
          <a:r>
            <a:rPr lang="ru-RU" sz="1050" b="1">
              <a:solidFill>
                <a:sysClr val="windowText" lastClr="000000"/>
              </a:solidFill>
            </a:rPr>
            <a:t>% </a:t>
          </a:r>
        </a:p>
      </cdr:txBody>
    </cdr:sp>
  </cdr:relSizeAnchor>
  <cdr:relSizeAnchor xmlns:cdr="http://schemas.openxmlformats.org/drawingml/2006/chartDrawing">
    <cdr:from>
      <cdr:x>0.6833</cdr:x>
      <cdr:y>0.49797</cdr:y>
    </cdr:from>
    <cdr:to>
      <cdr:x>0.81795</cdr:x>
      <cdr:y>0.5867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5A1A34FC-C49D-65A4-8F16-5A150C8D88BE}"/>
            </a:ext>
          </a:extLst>
        </cdr:cNvPr>
        <cdr:cNvSpPr txBox="1"/>
      </cdr:nvSpPr>
      <cdr:spPr>
        <a:xfrm xmlns:a="http://schemas.openxmlformats.org/drawingml/2006/main">
          <a:off x="3689435" y="1792599"/>
          <a:ext cx="727030" cy="3194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050" b="1"/>
            <a:t>50</a:t>
          </a:r>
          <a:r>
            <a:rPr lang="ru-RU" sz="1050" b="1"/>
            <a:t>,</a:t>
          </a:r>
          <a:r>
            <a:rPr lang="en-US" sz="1050" b="1"/>
            <a:t>9</a:t>
          </a:r>
          <a:endParaRPr lang="ru-RU" sz="1050" b="1"/>
        </a:p>
      </cdr:txBody>
    </cdr:sp>
  </cdr:relSizeAnchor>
  <cdr:relSizeAnchor xmlns:cdr="http://schemas.openxmlformats.org/drawingml/2006/chartDrawing">
    <cdr:from>
      <cdr:x>0.68446</cdr:x>
      <cdr:y>0.75251</cdr:y>
    </cdr:from>
    <cdr:to>
      <cdr:x>0.81287</cdr:x>
      <cdr:y>0.84124</cdr:y>
    </cdr:to>
    <cdr:sp macro="" textlink="">
      <cdr:nvSpPr>
        <cdr:cNvPr id="17" name="TextBox 1">
          <a:extLst xmlns:a="http://schemas.openxmlformats.org/drawingml/2006/main">
            <a:ext uri="{FF2B5EF4-FFF2-40B4-BE49-F238E27FC236}">
              <a16:creationId xmlns:a16="http://schemas.microsoft.com/office/drawing/2014/main" id="{98E274D1-A3A9-AA1B-C231-8B1EF5A35621}"/>
            </a:ext>
          </a:extLst>
        </cdr:cNvPr>
        <cdr:cNvSpPr txBox="1"/>
      </cdr:nvSpPr>
      <cdr:spPr>
        <a:xfrm xmlns:a="http://schemas.openxmlformats.org/drawingml/2006/main">
          <a:off x="3695700" y="2708897"/>
          <a:ext cx="693289" cy="3194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50" b="1"/>
            <a:t>41</a:t>
          </a:r>
          <a:r>
            <a:rPr lang="ru-RU" sz="1050" b="1"/>
            <a:t>,</a:t>
          </a:r>
          <a:r>
            <a:rPr lang="en-US" sz="1050" b="1"/>
            <a:t>9</a:t>
          </a:r>
          <a:endParaRPr lang="ru-RU" sz="1050" b="1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0.69964</cdr:x>
      <cdr:y>0.25987</cdr:y>
    </cdr:from>
    <cdr:to>
      <cdr:x>0.75326</cdr:x>
      <cdr:y>0.45198</cdr:y>
    </cdr:to>
    <cdr:sp macro="" textlink="">
      <cdr:nvSpPr>
        <cdr:cNvPr id="2" name="Двойная стрелка вверх/вниз 1"/>
        <cdr:cNvSpPr/>
      </cdr:nvSpPr>
      <cdr:spPr>
        <a:xfrm xmlns:a="http://schemas.openxmlformats.org/drawingml/2006/main">
          <a:off x="3777634" y="935479"/>
          <a:ext cx="289541" cy="691560"/>
        </a:xfrm>
        <a:prstGeom xmlns:a="http://schemas.openxmlformats.org/drawingml/2006/main" prst="upDownArrow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algn="l" defTabSz="914400" rtl="0" eaLnBrk="1" latinLnBrk="0" hangingPunct="1">
            <a:defRPr sz="1800" kern="12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0.36696</cdr:x>
      <cdr:y>0.53586</cdr:y>
    </cdr:from>
    <cdr:to>
      <cdr:x>0.64275</cdr:x>
      <cdr:y>0.63721</cdr:y>
    </cdr:to>
    <cdr:sp macro="" textlink="">
      <cdr:nvSpPr>
        <cdr:cNvPr id="14" name="Стрелка вправо 13"/>
        <cdr:cNvSpPr/>
      </cdr:nvSpPr>
      <cdr:spPr>
        <a:xfrm xmlns:a="http://schemas.openxmlformats.org/drawingml/2006/main" rot="2378337">
          <a:off x="1981345" y="1928996"/>
          <a:ext cx="1489132" cy="364842"/>
        </a:xfrm>
        <a:prstGeom xmlns:a="http://schemas.openxmlformats.org/drawingml/2006/main" prst="rightArrow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000" b="1">
              <a:solidFill>
                <a:sysClr val="windowText" lastClr="000000"/>
              </a:solidFill>
            </a:rPr>
            <a:t>-38,93% </a:t>
          </a:r>
        </a:p>
      </cdr:txBody>
    </cdr:sp>
  </cdr:relSizeAnchor>
  <cdr:relSizeAnchor xmlns:cdr="http://schemas.openxmlformats.org/drawingml/2006/chartDrawing">
    <cdr:from>
      <cdr:x>0.69126</cdr:x>
      <cdr:y>0.1958</cdr:y>
    </cdr:from>
    <cdr:to>
      <cdr:x>0.82591</cdr:x>
      <cdr:y>0.29322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5A1A34FC-C49D-65A4-8F16-5A150C8D88BE}"/>
            </a:ext>
          </a:extLst>
        </cdr:cNvPr>
        <cdr:cNvSpPr txBox="1"/>
      </cdr:nvSpPr>
      <cdr:spPr>
        <a:xfrm xmlns:a="http://schemas.openxmlformats.org/drawingml/2006/main">
          <a:off x="3982573" y="704844"/>
          <a:ext cx="775766" cy="3506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050" b="1"/>
            <a:t>77,1</a:t>
          </a:r>
        </a:p>
      </cdr:txBody>
    </cdr:sp>
  </cdr:relSizeAnchor>
  <cdr:relSizeAnchor xmlns:cdr="http://schemas.openxmlformats.org/drawingml/2006/chartDrawing">
    <cdr:from>
      <cdr:x>0.69266</cdr:x>
      <cdr:y>0.44178</cdr:y>
    </cdr:from>
    <cdr:to>
      <cdr:x>0.8273</cdr:x>
      <cdr:y>0.53051</cdr:y>
    </cdr:to>
    <cdr:sp macro="" textlink="">
      <cdr:nvSpPr>
        <cdr:cNvPr id="17" name="TextBox 1">
          <a:extLst xmlns:a="http://schemas.openxmlformats.org/drawingml/2006/main">
            <a:ext uri="{FF2B5EF4-FFF2-40B4-BE49-F238E27FC236}">
              <a16:creationId xmlns:a16="http://schemas.microsoft.com/office/drawing/2014/main" id="{98E274D1-A3A9-AA1B-C231-8B1EF5A35621}"/>
            </a:ext>
          </a:extLst>
        </cdr:cNvPr>
        <cdr:cNvSpPr txBox="1"/>
      </cdr:nvSpPr>
      <cdr:spPr>
        <a:xfrm xmlns:a="http://schemas.openxmlformats.org/drawingml/2006/main">
          <a:off x="3739932" y="1590315"/>
          <a:ext cx="726976" cy="3194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050" b="1"/>
            <a:t>64,1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31C63-5860-4997-838B-D2352875E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Григорьевна Никулина</dc:creator>
  <cp:lastModifiedBy>Болушева Ольга Александровна</cp:lastModifiedBy>
  <cp:revision>3</cp:revision>
  <dcterms:created xsi:type="dcterms:W3CDTF">2022-05-23T08:37:00Z</dcterms:created>
  <dcterms:modified xsi:type="dcterms:W3CDTF">2022-05-23T08:44:00Z</dcterms:modified>
</cp:coreProperties>
</file>