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F0" w:rsidRPr="00216AF0" w:rsidRDefault="00216AF0" w:rsidP="00216AF0">
      <w:pPr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216AF0">
        <w:rPr>
          <w:rFonts w:ascii="Arial" w:hAnsi="Arial" w:cs="Arial"/>
          <w:b/>
          <w:color w:val="FF0000"/>
          <w:sz w:val="24"/>
          <w:szCs w:val="24"/>
          <w:lang w:val="ru-RU"/>
        </w:rPr>
        <w:t>Прогноз продаж новых грузовых автомобилей на 2023 год</w:t>
      </w:r>
    </w:p>
    <w:p w:rsidR="00D17479" w:rsidRPr="00D17479" w:rsidRDefault="00D17479" w:rsidP="00D17479">
      <w:pPr>
        <w:pStyle w:val="af3"/>
        <w:ind w:left="0" w:firstLine="426"/>
        <w:jc w:val="both"/>
        <w:rPr>
          <w:rFonts w:ascii="Arial" w:hAnsi="Arial" w:cs="Arial"/>
          <w:b/>
          <w:color w:val="000000" w:themeColor="text1"/>
          <w:lang w:val="ru-RU"/>
        </w:rPr>
      </w:pPr>
      <w:bookmarkStart w:id="0" w:name="_GoBack"/>
      <w:bookmarkEnd w:id="0"/>
      <w:r w:rsidRPr="00D17479">
        <w:rPr>
          <w:rFonts w:ascii="Arial" w:hAnsi="Arial" w:cs="Arial"/>
          <w:color w:val="000000" w:themeColor="text1"/>
          <w:lang w:val="ru-RU"/>
        </w:rPr>
        <w:t>Согласно базовому сценарию прогноза, продажи новых грузовых автомобилей в 2023 г. достигнут 86,74 тыс. ед. По оптимистичному сценарию продажи составят 92,79 тыс. ед., а по пессимистичному не превысят 79,01 тыс. штук.</w:t>
      </w:r>
    </w:p>
    <w:p w:rsidR="00216AF0" w:rsidRPr="00216AF0" w:rsidRDefault="00216AF0" w:rsidP="00216AF0">
      <w:pPr>
        <w:rPr>
          <w:rFonts w:ascii="Arial" w:hAnsi="Arial" w:cs="Arial"/>
          <w:b/>
          <w:lang w:val="ru-RU"/>
        </w:rPr>
      </w:pPr>
      <w:r w:rsidRPr="00216AF0">
        <w:rPr>
          <w:rFonts w:ascii="Arial" w:hAnsi="Arial" w:cs="Arial"/>
          <w:b/>
          <w:color w:val="0070C0"/>
          <w:lang w:val="ru-RU"/>
        </w:rPr>
        <w:t xml:space="preserve">Базовый сценарий прогноза </w:t>
      </w:r>
      <w:r w:rsidRPr="00216AF0">
        <w:rPr>
          <w:rFonts w:ascii="Arial" w:hAnsi="Arial" w:cs="Arial"/>
          <w:b/>
          <w:lang w:val="ru-RU"/>
        </w:rPr>
        <w:t xml:space="preserve">опирается на следующие предпосылки: 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Санкции против РФ сохранятся до конца 2023 г. 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КАМАЗ реализует план продаж на внутреннем рынке России в 2023 г. на 90%.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ГАЗ, УРАЛ и МАЗ в 2023 г. продадут на внутреннем рынке России больше автомобилей, чем в 2022 г., но не выйдут на средние объемы продаж, которые были до 24 февраля 2022 г.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Китайские бренды увеличат свою долю на российском рынке и компенсируют долю продаж, ушедших с российского рынка брендов BIG-7. 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Бренды BIG-7 не вернутся на российский рынок и эти автомобили будут поставляться только по параллельному импорту в небольшом количестве. 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- Макроэкономическая ситуация в стране останется нестабильной. ВВП сократится на 0,4% по сравнению с уровнем 2022 г., инфляция составит 10%. 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Инфраструктурные проекты в рамках нацпроекта «Безопасные качественные дороги» продолжат реализовываться в 2023 г. и будут осуществляться проекты дорожного строительства, ремонта, содержания и эксплуатации дорог в регионах, что обусловит потребность в грузовой технике. Также грузовая техника потребуется для восстановления поврежденной инфраструктуры на новых территориях. </w:t>
      </w:r>
    </w:p>
    <w:p w:rsidR="00216AF0" w:rsidRPr="00216AF0" w:rsidRDefault="00216AF0" w:rsidP="00216AF0">
      <w:pPr>
        <w:pStyle w:val="af3"/>
        <w:numPr>
          <w:ilvl w:val="0"/>
          <w:numId w:val="4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Объемы грузоперевозок по России в 2023 г. будут на уровне чуть выше 2022 г. в связи с присоединением новых территорий. Санкции в отношении российских перевозчиков со стороны стран ЕС сохранятся.  Объемы международных перевозок будут на уровне чуть выше 2022 г.  за счет их переориентации на восточное направление и роста товароборота России со странами Азии.</w:t>
      </w:r>
    </w:p>
    <w:p w:rsidR="00216AF0" w:rsidRPr="00216AF0" w:rsidRDefault="00216AF0" w:rsidP="00216AF0">
      <w:p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Согласно базовому сценарию прогноза на российском автомобильном рынке в 2023 г. останутся в основном российские, китайские и белорусские бренды. </w:t>
      </w:r>
    </w:p>
    <w:p w:rsidR="00216AF0" w:rsidRPr="00216AF0" w:rsidRDefault="00216AF0" w:rsidP="00216AF0">
      <w:pPr>
        <w:rPr>
          <w:rFonts w:ascii="Arial" w:hAnsi="Arial" w:cs="Arial"/>
          <w:b/>
          <w:lang w:val="ru-RU"/>
        </w:rPr>
      </w:pPr>
      <w:r w:rsidRPr="00216AF0">
        <w:rPr>
          <w:rFonts w:ascii="Arial" w:hAnsi="Arial" w:cs="Arial"/>
          <w:b/>
          <w:color w:val="0070C0"/>
          <w:lang w:val="ru-RU"/>
        </w:rPr>
        <w:t xml:space="preserve">Оптимистичный сценарий прогноза </w:t>
      </w:r>
      <w:r w:rsidRPr="00216AF0">
        <w:rPr>
          <w:rFonts w:ascii="Arial" w:hAnsi="Arial" w:cs="Arial"/>
          <w:b/>
          <w:lang w:val="ru-RU"/>
        </w:rPr>
        <w:t xml:space="preserve">опирается на следующие предпосылки: 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Санкции против РФ сохранятся до конца 2023 г.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КАМАЗ реализует план продаж на внутреннем рынке на 2023 г. на 100%.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ГАЗ, УРАЛ и МАЗ в 2023 г. продадут на внутреннем рынке России больше автомобилей, чем в 2022 г., и к 4 кварталу 2023 г. выйдут на средние объемы продаж, которые были до 24 февраля 2022 г. 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Китайские бренды увеличат свою долю на российском рынке и компенсируют долю продаж, ушедших с российского рынка брендов BIG-7. 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Бренды BIG-7 не вернутся на российский рынок и эти автомобили будут поставляться только по параллельному импорту в небольшом количестве.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Макроэкономическая ситуация в стране улучшится. ВВП вырастет на 0,5% по сравнению с уровнем 2022 г., инфляция замедлится и составит 7,5%.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Инфраструктурные проекты в рамках нацпроекта «Безопасные качественные дороги» и продолжат реализовываться в 2023 г. и будут осуществляться проекты дорожного строительства, ремонта, содержания и эксплуатации дорог в регионах, что обусловит потребность в грузовой технике. </w:t>
      </w:r>
      <w:r w:rsidRPr="00216AF0">
        <w:rPr>
          <w:rFonts w:ascii="Arial" w:hAnsi="Arial" w:cs="Arial"/>
          <w:lang w:val="ru-RU"/>
        </w:rPr>
        <w:lastRenderedPageBreak/>
        <w:t xml:space="preserve">Также грузовая техника потребуется для восстановления поврежденной инфраструктуры на новых территориях. </w:t>
      </w:r>
    </w:p>
    <w:p w:rsidR="00216AF0" w:rsidRPr="00216AF0" w:rsidRDefault="00216AF0" w:rsidP="00216AF0">
      <w:pPr>
        <w:pStyle w:val="af3"/>
        <w:numPr>
          <w:ilvl w:val="0"/>
          <w:numId w:val="5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Объемы грузоперевозок по России в 2023 г. будут на уровне выше 2022 г. в связи с присоединением новых территорий. Санкции в отношении российских перевозчиков со стороны стран ЕС сохранятся. Объемы международных перевозок будут на уровне выше 2022 г.  за счет их переориентации на восточное направление и роста товароборота России со странами Азии.</w:t>
      </w:r>
    </w:p>
    <w:p w:rsidR="00216AF0" w:rsidRPr="00216AF0" w:rsidRDefault="00216AF0" w:rsidP="00216AF0">
      <w:p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Согласно оптимистичному сценарию прогноза на российском автомобильном рынке в 2023 г. останутся в основном российские, китайские и белорусские бренды. </w:t>
      </w:r>
    </w:p>
    <w:p w:rsidR="00216AF0" w:rsidRPr="00216AF0" w:rsidRDefault="00216AF0" w:rsidP="00216AF0">
      <w:pPr>
        <w:rPr>
          <w:rFonts w:ascii="Arial" w:hAnsi="Arial" w:cs="Arial"/>
          <w:b/>
          <w:lang w:val="ru-RU"/>
        </w:rPr>
      </w:pPr>
      <w:r w:rsidRPr="00216AF0">
        <w:rPr>
          <w:rFonts w:ascii="Arial" w:hAnsi="Arial" w:cs="Arial"/>
          <w:b/>
          <w:color w:val="0070C0"/>
          <w:lang w:val="ru-RU"/>
        </w:rPr>
        <w:t xml:space="preserve">Пессимистичный сценарий прогноза </w:t>
      </w:r>
      <w:r w:rsidRPr="00216AF0">
        <w:rPr>
          <w:rFonts w:ascii="Arial" w:hAnsi="Arial" w:cs="Arial"/>
          <w:b/>
          <w:lang w:val="ru-RU"/>
        </w:rPr>
        <w:t xml:space="preserve">опирается на следующие предпосылки: 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Санкции против РФ сохранятся до конца 2023 г. и будут ужесточаться.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КАМАЗ реализует план продаж на внутреннем рынке на 2023 г. на 80%.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ГАЗ, УРАЛ и МАЗ в 2023 г. продадут на внутреннем рынке меньше автомобилей, чем в 2022 г., и к 4 кварталу 2023 г. не выйдут на средние объемы продаж, которые были до 24 февраля 2022 г. 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Китайские бренды увеличат свою долю на российском рынке, но лишь частично компенсируют долю продаж, ушедших с российского рынка брендов BIG-7. 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Бренды BIG-7 не вернутся на российский рынок и эти автомобили будут поставляться только по параллельному импорту в небольшом количестве. 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Макроэкономическая ситуация в стране ухудшится. ВВП сократится на 2,5% по сравнению с уровнем 2022 г., инфляция составит 15%.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Инфраструктурные проекты в рамках нацпроекта «Безопасные качественные дороги» и продолжат реализовываться в 2023 г. и будут осуществляться проекты дорожного строительства, ремонта, содержания и эксплуатации дорог в регионах, что обусловит потребность в грузовой технике. Также грузовая техника потребуется для восстановления поврежденной инфраструктуры на новых территориях. </w:t>
      </w:r>
    </w:p>
    <w:p w:rsidR="00216AF0" w:rsidRPr="00216AF0" w:rsidRDefault="00216AF0" w:rsidP="00216AF0">
      <w:pPr>
        <w:pStyle w:val="af3"/>
        <w:numPr>
          <w:ilvl w:val="0"/>
          <w:numId w:val="6"/>
        </w:num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>Объемы грузоперевозок по России в 2023 г. будут на уровне чуть выше 2022 г. в связи с присоединением новых территорий. Санкции в отношении российских перевозчиков со стороны стран ЕС сохранятся. Объемы международных перевозок могут сократиться, если Китай и другие страны Азии частично поддержат санкции против РФ, в результате чего товарооборот между Россией и этими странами сократится.</w:t>
      </w:r>
    </w:p>
    <w:p w:rsidR="00216AF0" w:rsidRPr="00216AF0" w:rsidRDefault="00216AF0" w:rsidP="00216AF0">
      <w:pPr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 xml:space="preserve">Согласно пессимистичному сценарию прогноза на российском автомобильном рынке в 2023 г. останутся в основном российские, китайские и белорусские бренды. </w:t>
      </w: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16AF0" w:rsidRPr="00216AF0" w:rsidRDefault="00216AF0" w:rsidP="00216AF0">
      <w:pPr>
        <w:rPr>
          <w:rFonts w:ascii="Arial" w:hAnsi="Arial" w:cs="Arial"/>
          <w:lang w:val="ru-RU"/>
        </w:rPr>
      </w:pPr>
    </w:p>
    <w:p w:rsidR="00263C6D" w:rsidRPr="00216AF0" w:rsidRDefault="00263C6D" w:rsidP="00A61EB0">
      <w:pPr>
        <w:rPr>
          <w:rFonts w:ascii="Arial" w:hAnsi="Arial" w:cs="Arial"/>
          <w:lang w:val="ru-RU"/>
        </w:rPr>
      </w:pPr>
    </w:p>
    <w:p w:rsidR="00E77090" w:rsidRPr="00216AF0" w:rsidRDefault="00E77090" w:rsidP="00263C6D">
      <w:pPr>
        <w:rPr>
          <w:rFonts w:ascii="Arial" w:hAnsi="Arial" w:cs="Arial"/>
          <w:lang w:val="ru-RU"/>
        </w:rPr>
      </w:pPr>
    </w:p>
    <w:p w:rsidR="00E77090" w:rsidRPr="00216AF0" w:rsidRDefault="00E77090" w:rsidP="00E77090">
      <w:pPr>
        <w:rPr>
          <w:rFonts w:ascii="Arial" w:hAnsi="Arial" w:cs="Arial"/>
          <w:lang w:val="ru-RU"/>
        </w:rPr>
      </w:pPr>
    </w:p>
    <w:p w:rsidR="0096396C" w:rsidRPr="00216AF0" w:rsidRDefault="00E77090" w:rsidP="00E77090">
      <w:pPr>
        <w:tabs>
          <w:tab w:val="left" w:pos="7665"/>
        </w:tabs>
        <w:rPr>
          <w:rFonts w:ascii="Arial" w:hAnsi="Arial" w:cs="Arial"/>
          <w:lang w:val="ru-RU"/>
        </w:rPr>
      </w:pPr>
      <w:r w:rsidRPr="00216AF0">
        <w:rPr>
          <w:rFonts w:ascii="Arial" w:hAnsi="Arial" w:cs="Arial"/>
          <w:lang w:val="ru-RU"/>
        </w:rPr>
        <w:tab/>
      </w:r>
    </w:p>
    <w:sectPr w:rsidR="0096396C" w:rsidRPr="00216AF0" w:rsidSect="00263C6D">
      <w:headerReference w:type="default" r:id="rId7"/>
      <w:footerReference w:type="default" r:id="rId8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E8" w:rsidRDefault="00F07CE8" w:rsidP="0071765E">
      <w:pPr>
        <w:spacing w:before="0" w:after="0" w:line="240" w:lineRule="auto"/>
      </w:pPr>
      <w:r>
        <w:separator/>
      </w:r>
    </w:p>
  </w:endnote>
  <w:endnote w:type="continuationSeparator" w:id="0">
    <w:p w:rsidR="00F07CE8" w:rsidRDefault="00F07CE8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6D" w:rsidRPr="00216AF0" w:rsidRDefault="00263C6D" w:rsidP="00263C6D">
    <w:pPr>
      <w:rPr>
        <w:rFonts w:cs="Arial"/>
        <w:b/>
        <w:color w:val="808080"/>
        <w:sz w:val="16"/>
        <w:szCs w:val="16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57937" wp14:editId="74E82D09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1BB11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B42C4F" wp14:editId="3914AE0A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F07CE8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42C4F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F07CE8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16AF0" w:rsidRPr="00216AF0">
      <w:rPr>
        <w:lang w:val="ru-RU"/>
      </w:rPr>
      <w:t xml:space="preserve"> </w:t>
    </w:r>
    <w:r w:rsidR="00216AF0" w:rsidRPr="00216AF0">
      <w:rPr>
        <w:rFonts w:cs="Arial"/>
        <w:b/>
        <w:color w:val="808080"/>
        <w:sz w:val="16"/>
        <w:szCs w:val="16"/>
        <w:lang w:val="ru-RU"/>
      </w:rPr>
      <w:t>Прогноз продаж новых грузовых автомобилей на 2023 год</w: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C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E8" w:rsidRDefault="00F07CE8" w:rsidP="0071765E">
      <w:pPr>
        <w:spacing w:before="0" w:after="0" w:line="240" w:lineRule="auto"/>
      </w:pPr>
      <w:r>
        <w:separator/>
      </w:r>
    </w:p>
  </w:footnote>
  <w:footnote w:type="continuationSeparator" w:id="0">
    <w:p w:rsidR="00F07CE8" w:rsidRDefault="00F07CE8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E" w:rsidRPr="008033B0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F9073C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33B0">
      <w:rPr>
        <w:rFonts w:ascii="Arial" w:hAnsi="Arial" w:cs="Arial"/>
        <w:color w:val="333333"/>
        <w:lang w:val="ru-RU"/>
      </w:rPr>
      <w:tab/>
    </w:r>
    <w:r w:rsidRPr="008033B0">
      <w:rPr>
        <w:rFonts w:ascii="Arial" w:hAnsi="Arial" w:cs="Arial"/>
        <w:color w:val="333333"/>
        <w:lang w:val="ru-RU"/>
      </w:rPr>
      <w:tab/>
    </w:r>
    <w:r w:rsidR="008033B0" w:rsidRPr="008033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 w:rsidR="008033B0">
      <w:rPr>
        <w:rFonts w:ascii="Arial" w:hAnsi="Arial" w:cs="Arial"/>
        <w:color w:val="333333"/>
        <w:sz w:val="16"/>
        <w:szCs w:val="16"/>
        <w:lang w:val="ru-RU"/>
      </w:rPr>
      <w:tab/>
    </w:r>
    <w:r w:rsidRPr="008033B0">
      <w:rPr>
        <w:rFonts w:ascii="Arial" w:hAnsi="Arial" w:cs="Arial"/>
        <w:color w:val="333333"/>
        <w:sz w:val="16"/>
        <w:szCs w:val="16"/>
        <w:lang w:val="ru-RU"/>
      </w:rPr>
      <w:tab/>
    </w:r>
    <w:r w:rsidR="00E77090" w:rsidRPr="008033B0">
      <w:rPr>
        <w:rFonts w:ascii="Arial" w:hAnsi="Arial" w:cs="Arial"/>
        <w:color w:val="333333"/>
        <w:sz w:val="16"/>
        <w:szCs w:val="16"/>
        <w:lang w:val="ru-RU"/>
      </w:rPr>
      <w:tab/>
    </w:r>
    <w:r w:rsidR="00E77090" w:rsidRPr="008033B0">
      <w:rPr>
        <w:rFonts w:ascii="Arial" w:hAnsi="Arial" w:cs="Arial"/>
        <w:color w:val="333333"/>
        <w:sz w:val="16"/>
        <w:szCs w:val="16"/>
        <w:lang w:val="ru-RU"/>
      </w:rPr>
      <w:tab/>
    </w:r>
    <w:r w:rsidRPr="008033B0">
      <w:rPr>
        <w:rFonts w:ascii="Arial" w:hAnsi="Arial" w:cs="Arial"/>
        <w:color w:val="333333"/>
        <w:sz w:val="16"/>
        <w:szCs w:val="16"/>
        <w:lang w:val="ru-RU"/>
      </w:rPr>
      <w:tab/>
    </w:r>
    <w:r w:rsidRPr="00E77090">
      <w:rPr>
        <w:rFonts w:ascii="Arial" w:hAnsi="Arial" w:cs="Arial"/>
        <w:color w:val="0070C0"/>
        <w:sz w:val="16"/>
        <w:szCs w:val="16"/>
      </w:rPr>
      <w:t>https</w:t>
    </w:r>
    <w:r w:rsidRPr="008033B0">
      <w:rPr>
        <w:rFonts w:ascii="Arial" w:hAnsi="Arial" w:cs="Arial"/>
        <w:color w:val="0070C0"/>
        <w:sz w:val="16"/>
        <w:szCs w:val="16"/>
        <w:lang w:val="ru-RU"/>
      </w:rPr>
      <w:t>://</w:t>
    </w:r>
    <w:r w:rsidRPr="00E77090">
      <w:rPr>
        <w:rFonts w:ascii="Arial" w:hAnsi="Arial" w:cs="Arial"/>
        <w:color w:val="0070C0"/>
        <w:sz w:val="16"/>
        <w:szCs w:val="16"/>
      </w:rPr>
      <w:t>napinfo</w:t>
    </w:r>
    <w:r w:rsidRPr="008033B0">
      <w:rPr>
        <w:rFonts w:ascii="Arial" w:hAnsi="Arial" w:cs="Arial"/>
        <w:color w:val="0070C0"/>
        <w:sz w:val="16"/>
        <w:szCs w:val="16"/>
        <w:lang w:val="ru-RU"/>
      </w:rPr>
      <w:t>.</w:t>
    </w:r>
    <w:r w:rsidRPr="00E77090">
      <w:rPr>
        <w:rFonts w:ascii="Arial" w:hAnsi="Arial" w:cs="Arial"/>
        <w:color w:val="0070C0"/>
        <w:sz w:val="16"/>
        <w:szCs w:val="16"/>
      </w:rPr>
      <w:t>ru</w:t>
    </w:r>
    <w:r w:rsidRPr="008033B0">
      <w:rPr>
        <w:rFonts w:ascii="Arial" w:hAnsi="Arial" w:cs="Arial"/>
        <w:color w:val="0070C0"/>
        <w:sz w:val="16"/>
        <w:szCs w:val="16"/>
        <w:lang w:val="ru-RU"/>
      </w:rPr>
      <w:t>/</w:t>
    </w:r>
    <w:r w:rsidRPr="008033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7C18"/>
    <w:multiLevelType w:val="hybridMultilevel"/>
    <w:tmpl w:val="E6D2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155D"/>
    <w:multiLevelType w:val="hybridMultilevel"/>
    <w:tmpl w:val="7524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0F19"/>
    <w:multiLevelType w:val="hybridMultilevel"/>
    <w:tmpl w:val="B048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C"/>
    <w:rsid w:val="00015D56"/>
    <w:rsid w:val="0002508F"/>
    <w:rsid w:val="00045CCD"/>
    <w:rsid w:val="00051EEC"/>
    <w:rsid w:val="000B5141"/>
    <w:rsid w:val="000C7F97"/>
    <w:rsid w:val="0015192A"/>
    <w:rsid w:val="00153B88"/>
    <w:rsid w:val="0018521E"/>
    <w:rsid w:val="001D0F9E"/>
    <w:rsid w:val="00216AF0"/>
    <w:rsid w:val="00230525"/>
    <w:rsid w:val="00240A61"/>
    <w:rsid w:val="00250A52"/>
    <w:rsid w:val="00263C6D"/>
    <w:rsid w:val="002F0028"/>
    <w:rsid w:val="00313776"/>
    <w:rsid w:val="00364802"/>
    <w:rsid w:val="003E33DD"/>
    <w:rsid w:val="004672D1"/>
    <w:rsid w:val="00470E98"/>
    <w:rsid w:val="004A789A"/>
    <w:rsid w:val="004C58FD"/>
    <w:rsid w:val="004D1BE8"/>
    <w:rsid w:val="005770D4"/>
    <w:rsid w:val="005A2AFF"/>
    <w:rsid w:val="005D79A2"/>
    <w:rsid w:val="005E0373"/>
    <w:rsid w:val="00604943"/>
    <w:rsid w:val="006056FD"/>
    <w:rsid w:val="00627167"/>
    <w:rsid w:val="00670AE9"/>
    <w:rsid w:val="006A36FA"/>
    <w:rsid w:val="006C32C7"/>
    <w:rsid w:val="00704AEC"/>
    <w:rsid w:val="0071765E"/>
    <w:rsid w:val="007A1C21"/>
    <w:rsid w:val="007D2D5C"/>
    <w:rsid w:val="008033B0"/>
    <w:rsid w:val="008B4555"/>
    <w:rsid w:val="008C48D8"/>
    <w:rsid w:val="008F2536"/>
    <w:rsid w:val="00941231"/>
    <w:rsid w:val="0096396C"/>
    <w:rsid w:val="009C50C8"/>
    <w:rsid w:val="009E27E1"/>
    <w:rsid w:val="009E5165"/>
    <w:rsid w:val="00A01B24"/>
    <w:rsid w:val="00A20D7D"/>
    <w:rsid w:val="00A37270"/>
    <w:rsid w:val="00A44E87"/>
    <w:rsid w:val="00A61EB0"/>
    <w:rsid w:val="00A81C64"/>
    <w:rsid w:val="00AB3718"/>
    <w:rsid w:val="00AD063B"/>
    <w:rsid w:val="00B93F87"/>
    <w:rsid w:val="00B95C4A"/>
    <w:rsid w:val="00BD6DB4"/>
    <w:rsid w:val="00C00935"/>
    <w:rsid w:val="00CE52D8"/>
    <w:rsid w:val="00D17479"/>
    <w:rsid w:val="00D24EFA"/>
    <w:rsid w:val="00D732C0"/>
    <w:rsid w:val="00D82FB5"/>
    <w:rsid w:val="00DE364A"/>
    <w:rsid w:val="00E17CAB"/>
    <w:rsid w:val="00E2772D"/>
    <w:rsid w:val="00E36298"/>
    <w:rsid w:val="00E70CCD"/>
    <w:rsid w:val="00E77090"/>
    <w:rsid w:val="00E77160"/>
    <w:rsid w:val="00E82680"/>
    <w:rsid w:val="00EE36D4"/>
    <w:rsid w:val="00F07CE8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6355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2</cp:revision>
  <dcterms:created xsi:type="dcterms:W3CDTF">2023-01-19T07:33:00Z</dcterms:created>
  <dcterms:modified xsi:type="dcterms:W3CDTF">2023-01-19T07:33:00Z</dcterms:modified>
</cp:coreProperties>
</file>