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D951" w14:textId="77777777" w:rsidR="0020047D" w:rsidRDefault="0020047D" w:rsidP="0020047D">
      <w:pPr>
        <w:spacing w:line="240" w:lineRule="auto"/>
        <w:jc w:val="center"/>
        <w:rPr>
          <w:rFonts w:asciiTheme="majorHAnsi" w:hAnsiTheme="majorHAnsi" w:cstheme="majorHAnsi"/>
          <w:b/>
          <w:sz w:val="22"/>
          <w:szCs w:val="22"/>
          <w:lang w:val="ru-RU"/>
        </w:rPr>
      </w:pPr>
    </w:p>
    <w:p w14:paraId="274FAFB4" w14:textId="77777777" w:rsidR="008C1B84" w:rsidRPr="008C1B84" w:rsidRDefault="008C1B84" w:rsidP="008C1B84">
      <w:pPr>
        <w:spacing w:before="120" w:line="240" w:lineRule="auto"/>
        <w:jc w:val="center"/>
        <w:rPr>
          <w:rFonts w:cstheme="minorHAnsi"/>
          <w:b/>
          <w:lang w:val="ru-RU"/>
        </w:rPr>
      </w:pPr>
      <w:r w:rsidRPr="008C1B84">
        <w:rPr>
          <w:rFonts w:cstheme="minorHAnsi"/>
          <w:b/>
          <w:lang w:val="ru-RU"/>
        </w:rPr>
        <w:t>Лизинг легковых автомобилей вырос на 3,3% за 7 месяцев 2026 года</w:t>
      </w:r>
    </w:p>
    <w:p w14:paraId="371466AE" w14:textId="77777777" w:rsidR="008C1B84" w:rsidRPr="008C1B84" w:rsidRDefault="008C1B84" w:rsidP="008C1B84">
      <w:pPr>
        <w:spacing w:before="120" w:line="240" w:lineRule="auto"/>
        <w:jc w:val="center"/>
        <w:rPr>
          <w:rFonts w:cstheme="minorHAnsi"/>
          <w:lang w:val="ru-RU"/>
        </w:rPr>
      </w:pPr>
      <w:r w:rsidRPr="008C1B84">
        <w:rPr>
          <w:rFonts w:cstheme="minorHAnsi"/>
          <w:lang w:val="ru-RU"/>
        </w:rPr>
        <w:t>А доля отечественных марок в лизинге составила уже 34%</w:t>
      </w:r>
    </w:p>
    <w:p w14:paraId="24B3F655" w14:textId="77777777" w:rsidR="008C1B84" w:rsidRPr="008C1B84" w:rsidRDefault="008C1B84" w:rsidP="008C1B84">
      <w:pPr>
        <w:spacing w:before="120" w:after="0" w:line="240" w:lineRule="auto"/>
        <w:jc w:val="both"/>
        <w:rPr>
          <w:rFonts w:cstheme="minorHAnsi"/>
          <w:lang w:val="ru-RU"/>
        </w:rPr>
      </w:pPr>
      <w:r w:rsidRPr="008C1B84">
        <w:rPr>
          <w:rFonts w:cstheme="minorHAnsi"/>
          <w:i/>
          <w:lang w:val="ru-RU"/>
        </w:rPr>
        <w:t xml:space="preserve">По данным Газпромбанк Автолизинг и маркетингового агентства НАПИ, по итогам января-июля 2026 года рынок лизинга* новых и подержанных легковых автомобилей вырос на 3,3% в штуках в годовом выражении. Рост обеспечил лизинг подержанных «легковушек» (+41,6%), тогда как в первичном сегменте динамика остается отрицательной (-7,4%). Среди новых легковых автомобилей лидерами по выдаче в лизинг выступили марки </w:t>
      </w:r>
      <w:r w:rsidRPr="009C74CC">
        <w:rPr>
          <w:rFonts w:cstheme="minorHAnsi"/>
          <w:i/>
        </w:rPr>
        <w:t>LADA</w:t>
      </w:r>
      <w:r w:rsidRPr="008C1B84">
        <w:rPr>
          <w:rFonts w:cstheme="minorHAnsi"/>
          <w:i/>
          <w:lang w:val="ru-RU"/>
        </w:rPr>
        <w:t xml:space="preserve">, </w:t>
      </w:r>
      <w:r w:rsidRPr="009C74CC">
        <w:rPr>
          <w:rFonts w:cstheme="minorHAnsi"/>
          <w:i/>
        </w:rPr>
        <w:t>TENET</w:t>
      </w:r>
      <w:r w:rsidRPr="008C1B84">
        <w:rPr>
          <w:rFonts w:cstheme="minorHAnsi"/>
          <w:i/>
          <w:lang w:val="ru-RU"/>
        </w:rPr>
        <w:t xml:space="preserve">, </w:t>
      </w:r>
      <w:r w:rsidRPr="009C74CC">
        <w:rPr>
          <w:rFonts w:cstheme="minorHAnsi"/>
          <w:i/>
        </w:rPr>
        <w:t>HAVAL</w:t>
      </w:r>
      <w:r w:rsidRPr="008C1B84">
        <w:rPr>
          <w:rFonts w:cstheme="minorHAnsi"/>
          <w:i/>
          <w:lang w:val="ru-RU"/>
        </w:rPr>
        <w:t xml:space="preserve">, </w:t>
      </w:r>
      <w:r w:rsidRPr="009C74CC">
        <w:rPr>
          <w:rFonts w:cstheme="minorHAnsi"/>
          <w:i/>
        </w:rPr>
        <w:t>BELGEE</w:t>
      </w:r>
      <w:r w:rsidRPr="008C1B84">
        <w:rPr>
          <w:rFonts w:cstheme="minorHAnsi"/>
          <w:i/>
          <w:lang w:val="ru-RU"/>
        </w:rPr>
        <w:t xml:space="preserve">, </w:t>
      </w:r>
      <w:r w:rsidRPr="009C74CC">
        <w:rPr>
          <w:rFonts w:cstheme="minorHAnsi"/>
          <w:i/>
        </w:rPr>
        <w:t>GEELY</w:t>
      </w:r>
      <w:r w:rsidRPr="008C1B84">
        <w:rPr>
          <w:rFonts w:cstheme="minorHAnsi"/>
          <w:i/>
          <w:lang w:val="ru-RU"/>
        </w:rPr>
        <w:t xml:space="preserve">, среди подержанных - </w:t>
      </w:r>
      <w:r w:rsidRPr="009C74CC">
        <w:rPr>
          <w:rFonts w:cstheme="minorHAnsi"/>
          <w:i/>
        </w:rPr>
        <w:t>LADA</w:t>
      </w:r>
      <w:r w:rsidRPr="008C1B84">
        <w:rPr>
          <w:rFonts w:cstheme="minorHAnsi"/>
          <w:i/>
          <w:lang w:val="ru-RU"/>
        </w:rPr>
        <w:t xml:space="preserve">, </w:t>
      </w:r>
      <w:r w:rsidRPr="009C74CC">
        <w:rPr>
          <w:rFonts w:cstheme="minorHAnsi"/>
          <w:i/>
        </w:rPr>
        <w:t>KIA</w:t>
      </w:r>
      <w:r w:rsidRPr="008C1B84">
        <w:rPr>
          <w:rFonts w:cstheme="minorHAnsi"/>
          <w:i/>
          <w:lang w:val="ru-RU"/>
        </w:rPr>
        <w:t xml:space="preserve">, </w:t>
      </w:r>
      <w:r w:rsidRPr="009C74CC">
        <w:rPr>
          <w:rFonts w:cstheme="minorHAnsi"/>
          <w:i/>
        </w:rPr>
        <w:t>HAVAL</w:t>
      </w:r>
      <w:r w:rsidRPr="008C1B84">
        <w:rPr>
          <w:rFonts w:cstheme="minorHAnsi"/>
          <w:i/>
          <w:lang w:val="ru-RU"/>
        </w:rPr>
        <w:t xml:space="preserve">, </w:t>
      </w:r>
      <w:r w:rsidRPr="009C74CC">
        <w:rPr>
          <w:rFonts w:cstheme="minorHAnsi"/>
          <w:i/>
        </w:rPr>
        <w:t>CHERY</w:t>
      </w:r>
      <w:r w:rsidRPr="008C1B84">
        <w:rPr>
          <w:rFonts w:cstheme="minorHAnsi"/>
          <w:i/>
          <w:lang w:val="ru-RU"/>
        </w:rPr>
        <w:t xml:space="preserve">, </w:t>
      </w:r>
      <w:r w:rsidRPr="009C74CC">
        <w:rPr>
          <w:rFonts w:cstheme="minorHAnsi"/>
          <w:i/>
        </w:rPr>
        <w:t>EXEED</w:t>
      </w:r>
      <w:r w:rsidRPr="008C1B84">
        <w:rPr>
          <w:rFonts w:cstheme="minorHAnsi"/>
          <w:i/>
          <w:lang w:val="ru-RU"/>
        </w:rPr>
        <w:t xml:space="preserve">. </w:t>
      </w:r>
    </w:p>
    <w:p w14:paraId="26FDDB8B" w14:textId="77777777" w:rsidR="008C1B84" w:rsidRPr="008C1B84" w:rsidRDefault="008C1B84" w:rsidP="008C1B84">
      <w:pPr>
        <w:spacing w:before="120" w:after="0" w:line="240" w:lineRule="auto"/>
        <w:jc w:val="both"/>
        <w:rPr>
          <w:rFonts w:cstheme="minorHAnsi"/>
          <w:b/>
          <w:u w:val="single"/>
          <w:lang w:val="ru-RU"/>
        </w:rPr>
      </w:pPr>
      <w:r w:rsidRPr="008C1B84">
        <w:rPr>
          <w:rFonts w:cstheme="minorHAnsi"/>
          <w:b/>
          <w:u w:val="single"/>
          <w:lang w:val="ru-RU"/>
        </w:rPr>
        <w:t xml:space="preserve">Итоги января-июля 2026 года </w:t>
      </w:r>
    </w:p>
    <w:p w14:paraId="73DC33F7"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 xml:space="preserve">За январь-июль 2026 года представители бизнеса приобрели в лизинг 82,1 тыс. легковых автомобилей (57,4 тыс. новых и 24,7 тыс. с пробегом) по сравнению с 79,4 тыс. за аналогичный период годом ранее (62,0 тыс. новых и 17,4 тыс. с пробегом). Общий рост в сегменте составил 3,3%. Лизинг подержанных автомобилей прибавил 41,6%, а новых - снизился на 7,4%. </w:t>
      </w:r>
    </w:p>
    <w:p w14:paraId="61C28E14"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Доля лизинга в корпоративных продажах новых легковых автомобилей за год выросла на 2,3 п.п. и достигла 61,1%. Доля лизинга на рынке легковых автомобилей с пробегом выросла на 8,2 п.п., до 35,0%.</w:t>
      </w:r>
    </w:p>
    <w:p w14:paraId="7FD17F23"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 xml:space="preserve">Доля отечественных марок выросла на 7,1 п.п. до 33,8%. Доля взятой в лизинг китайской техники (без учета </w:t>
      </w:r>
      <w:r w:rsidRPr="009C74CC">
        <w:rPr>
          <w:rFonts w:cstheme="minorHAnsi"/>
        </w:rPr>
        <w:t>BELGEE</w:t>
      </w:r>
      <w:r w:rsidRPr="008C1B84">
        <w:rPr>
          <w:rFonts w:cstheme="minorHAnsi"/>
          <w:lang w:val="ru-RU"/>
        </w:rPr>
        <w:t xml:space="preserve">) сократилась на 6,0 п.п. до 38,8%. </w:t>
      </w:r>
    </w:p>
    <w:p w14:paraId="230754CF"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 xml:space="preserve">По итогам семи месяцев чаще всего бизнесом в лизинг оформлялись новые и подержанные легковые автомобили брендов </w:t>
      </w:r>
      <w:r w:rsidRPr="009C74CC">
        <w:rPr>
          <w:rFonts w:cstheme="minorHAnsi"/>
        </w:rPr>
        <w:t>LADA</w:t>
      </w:r>
      <w:r w:rsidRPr="008C1B84">
        <w:rPr>
          <w:rFonts w:cstheme="minorHAnsi"/>
          <w:lang w:val="ru-RU"/>
        </w:rPr>
        <w:t xml:space="preserve"> (доля 22,0%), </w:t>
      </w:r>
      <w:r w:rsidRPr="009C74CC">
        <w:rPr>
          <w:rFonts w:cstheme="minorHAnsi"/>
        </w:rPr>
        <w:t>TENET</w:t>
      </w:r>
      <w:r w:rsidRPr="008C1B84">
        <w:rPr>
          <w:rFonts w:cstheme="minorHAnsi"/>
          <w:lang w:val="ru-RU"/>
        </w:rPr>
        <w:t xml:space="preserve"> (8,2%), </w:t>
      </w:r>
      <w:r w:rsidRPr="009C74CC">
        <w:rPr>
          <w:rFonts w:cstheme="minorHAnsi"/>
        </w:rPr>
        <w:t>HAVAL</w:t>
      </w:r>
      <w:r w:rsidRPr="008C1B84">
        <w:rPr>
          <w:rFonts w:cstheme="minorHAnsi"/>
          <w:lang w:val="ru-RU"/>
        </w:rPr>
        <w:t xml:space="preserve"> (8,0%), </w:t>
      </w:r>
      <w:r w:rsidRPr="009C74CC">
        <w:rPr>
          <w:rFonts w:cstheme="minorHAnsi"/>
        </w:rPr>
        <w:t>BELGEE</w:t>
      </w:r>
      <w:r w:rsidRPr="008C1B84">
        <w:rPr>
          <w:rFonts w:cstheme="minorHAnsi"/>
          <w:lang w:val="ru-RU"/>
        </w:rPr>
        <w:t xml:space="preserve"> (6,1%), </w:t>
      </w:r>
      <w:r w:rsidRPr="009C74CC">
        <w:rPr>
          <w:rFonts w:cstheme="minorHAnsi"/>
        </w:rPr>
        <w:t>GEELY</w:t>
      </w:r>
      <w:r w:rsidRPr="008C1B84">
        <w:rPr>
          <w:rFonts w:cstheme="minorHAnsi"/>
          <w:lang w:val="ru-RU"/>
        </w:rPr>
        <w:t xml:space="preserve"> (4,5%). В десятку также вошли </w:t>
      </w:r>
      <w:r w:rsidRPr="009C74CC">
        <w:rPr>
          <w:rFonts w:cstheme="minorHAnsi"/>
        </w:rPr>
        <w:t>CHERY</w:t>
      </w:r>
      <w:r w:rsidRPr="008C1B84">
        <w:rPr>
          <w:rFonts w:cstheme="minorHAnsi"/>
          <w:lang w:val="ru-RU"/>
        </w:rPr>
        <w:t xml:space="preserve">, </w:t>
      </w:r>
      <w:r w:rsidRPr="009C74CC">
        <w:rPr>
          <w:rFonts w:cstheme="minorHAnsi"/>
        </w:rPr>
        <w:t>EXEED</w:t>
      </w:r>
      <w:r w:rsidRPr="008C1B84">
        <w:rPr>
          <w:rFonts w:cstheme="minorHAnsi"/>
          <w:lang w:val="ru-RU"/>
        </w:rPr>
        <w:t xml:space="preserve">, </w:t>
      </w:r>
      <w:r w:rsidRPr="009C74CC">
        <w:rPr>
          <w:rFonts w:cstheme="minorHAnsi"/>
        </w:rPr>
        <w:t>TANK</w:t>
      </w:r>
      <w:r w:rsidRPr="008C1B84">
        <w:rPr>
          <w:rFonts w:cstheme="minorHAnsi"/>
          <w:lang w:val="ru-RU"/>
        </w:rPr>
        <w:t xml:space="preserve">, </w:t>
      </w:r>
      <w:r w:rsidRPr="009C74CC">
        <w:rPr>
          <w:rFonts w:cstheme="minorHAnsi"/>
        </w:rPr>
        <w:t>JAECOO</w:t>
      </w:r>
      <w:r w:rsidRPr="008C1B84">
        <w:rPr>
          <w:rFonts w:cstheme="minorHAnsi"/>
          <w:lang w:val="ru-RU"/>
        </w:rPr>
        <w:t xml:space="preserve">, </w:t>
      </w:r>
      <w:r w:rsidRPr="009C74CC">
        <w:rPr>
          <w:rFonts w:cstheme="minorHAnsi"/>
        </w:rPr>
        <w:t>VOYAH</w:t>
      </w:r>
      <w:r w:rsidRPr="008C1B84">
        <w:rPr>
          <w:rFonts w:cstheme="minorHAnsi"/>
          <w:lang w:val="ru-RU"/>
        </w:rPr>
        <w:t xml:space="preserve">. Сократилась выдача в лизинг марок </w:t>
      </w:r>
      <w:r w:rsidRPr="009C74CC">
        <w:rPr>
          <w:rFonts w:cstheme="minorHAnsi"/>
        </w:rPr>
        <w:t>CHERY</w:t>
      </w:r>
      <w:r w:rsidRPr="008C1B84">
        <w:rPr>
          <w:rFonts w:cstheme="minorHAnsi"/>
          <w:lang w:val="ru-RU"/>
        </w:rPr>
        <w:t xml:space="preserve"> (-59,8%), </w:t>
      </w:r>
      <w:r w:rsidRPr="009C74CC">
        <w:rPr>
          <w:rFonts w:cstheme="minorHAnsi"/>
        </w:rPr>
        <w:t>EXEED</w:t>
      </w:r>
      <w:r w:rsidRPr="008C1B84">
        <w:rPr>
          <w:rFonts w:cstheme="minorHAnsi"/>
          <w:lang w:val="ru-RU"/>
        </w:rPr>
        <w:t xml:space="preserve"> (-34,0%) </w:t>
      </w:r>
      <w:r w:rsidRPr="009C74CC">
        <w:rPr>
          <w:rFonts w:cstheme="minorHAnsi"/>
        </w:rPr>
        <w:t>GEELY</w:t>
      </w:r>
      <w:r w:rsidRPr="008C1B84">
        <w:rPr>
          <w:rFonts w:cstheme="minorHAnsi"/>
          <w:lang w:val="ru-RU"/>
        </w:rPr>
        <w:t xml:space="preserve"> (-25,4%), </w:t>
      </w:r>
      <w:r w:rsidRPr="009C74CC">
        <w:rPr>
          <w:rFonts w:cstheme="minorHAnsi"/>
        </w:rPr>
        <w:t>BELGEE</w:t>
      </w:r>
      <w:r w:rsidRPr="008C1B84">
        <w:rPr>
          <w:rFonts w:cstheme="minorHAnsi"/>
          <w:lang w:val="ru-RU"/>
        </w:rPr>
        <w:t xml:space="preserve"> (-1,7%). Наибольший рост выдачи в лизинг зафиксирован у марок </w:t>
      </w:r>
      <w:r w:rsidRPr="009C74CC">
        <w:rPr>
          <w:rFonts w:eastAsia="Times New Roman" w:cstheme="minorHAnsi"/>
          <w:lang w:eastAsia="ru-RU"/>
        </w:rPr>
        <w:t>VOYAH</w:t>
      </w:r>
      <w:r w:rsidRPr="008C1B84">
        <w:rPr>
          <w:rFonts w:eastAsia="Times New Roman" w:cstheme="minorHAnsi"/>
          <w:lang w:val="ru-RU" w:eastAsia="ru-RU"/>
        </w:rPr>
        <w:t xml:space="preserve"> </w:t>
      </w:r>
      <w:r w:rsidRPr="008C1B84">
        <w:rPr>
          <w:rFonts w:eastAsia="Times New Roman" w:cstheme="minorHAnsi"/>
          <w:color w:val="000000"/>
          <w:lang w:val="ru-RU" w:eastAsia="ru-RU"/>
        </w:rPr>
        <w:t xml:space="preserve">(+131,8%) и </w:t>
      </w:r>
      <w:r w:rsidRPr="009C74CC">
        <w:rPr>
          <w:rFonts w:eastAsia="Times New Roman" w:cstheme="minorHAnsi"/>
          <w:color w:val="000000"/>
          <w:lang w:eastAsia="ru-RU"/>
        </w:rPr>
        <w:t>JAECOO</w:t>
      </w:r>
      <w:r w:rsidRPr="008C1B84">
        <w:rPr>
          <w:rFonts w:eastAsia="Times New Roman" w:cstheme="minorHAnsi"/>
          <w:color w:val="000000"/>
          <w:lang w:val="ru-RU" w:eastAsia="ru-RU"/>
        </w:rPr>
        <w:t xml:space="preserve"> (+111,4%)</w:t>
      </w:r>
    </w:p>
    <w:p w14:paraId="6B4D3CAC" w14:textId="77777777" w:rsidR="008C1B84" w:rsidRPr="009C74CC" w:rsidRDefault="008C1B84" w:rsidP="008C1B84">
      <w:pPr>
        <w:spacing w:before="120" w:line="240" w:lineRule="auto"/>
        <w:jc w:val="both"/>
        <w:rPr>
          <w:rFonts w:cstheme="minorHAnsi"/>
        </w:rPr>
      </w:pPr>
      <w:r w:rsidRPr="008C1B84">
        <w:rPr>
          <w:rFonts w:cstheme="minorHAnsi"/>
          <w:lang w:val="ru-RU"/>
        </w:rPr>
        <w:t xml:space="preserve">Среди </w:t>
      </w:r>
      <w:r w:rsidRPr="008C1B84">
        <w:rPr>
          <w:rFonts w:cstheme="minorHAnsi"/>
          <w:b/>
          <w:lang w:val="ru-RU"/>
        </w:rPr>
        <w:t>новых легковых автомобилей</w:t>
      </w:r>
      <w:r w:rsidRPr="008C1B84">
        <w:rPr>
          <w:rFonts w:cstheme="minorHAnsi"/>
          <w:lang w:val="ru-RU"/>
        </w:rPr>
        <w:t xml:space="preserve"> пятерка лидеров по выдаче в лизинг копирует общий рейтинг: </w:t>
      </w:r>
      <w:r w:rsidRPr="009C74CC">
        <w:rPr>
          <w:rFonts w:cstheme="minorHAnsi"/>
        </w:rPr>
        <w:t>LADA</w:t>
      </w:r>
      <w:r w:rsidRPr="008C1B84">
        <w:rPr>
          <w:rFonts w:cstheme="minorHAnsi"/>
          <w:lang w:val="ru-RU"/>
        </w:rPr>
        <w:t xml:space="preserve">, </w:t>
      </w:r>
      <w:r w:rsidRPr="009C74CC">
        <w:rPr>
          <w:rFonts w:cstheme="minorHAnsi"/>
        </w:rPr>
        <w:t>TENET</w:t>
      </w:r>
      <w:r w:rsidRPr="008C1B84">
        <w:rPr>
          <w:rFonts w:cstheme="minorHAnsi"/>
          <w:lang w:val="ru-RU"/>
        </w:rPr>
        <w:t xml:space="preserve">, </w:t>
      </w:r>
      <w:r w:rsidRPr="009C74CC">
        <w:rPr>
          <w:rFonts w:cstheme="minorHAnsi"/>
        </w:rPr>
        <w:t>HAVAL</w:t>
      </w:r>
      <w:r w:rsidRPr="008C1B84">
        <w:rPr>
          <w:rFonts w:cstheme="minorHAnsi"/>
          <w:lang w:val="ru-RU"/>
        </w:rPr>
        <w:t xml:space="preserve">, </w:t>
      </w:r>
      <w:r w:rsidRPr="009C74CC">
        <w:rPr>
          <w:rFonts w:cstheme="minorHAnsi"/>
        </w:rPr>
        <w:t>BELGEE</w:t>
      </w:r>
      <w:r w:rsidRPr="008C1B84">
        <w:rPr>
          <w:rFonts w:cstheme="minorHAnsi"/>
          <w:lang w:val="ru-RU"/>
        </w:rPr>
        <w:t xml:space="preserve">, </w:t>
      </w:r>
      <w:r w:rsidRPr="009C74CC">
        <w:rPr>
          <w:rFonts w:cstheme="minorHAnsi"/>
        </w:rPr>
        <w:t>GEELY</w:t>
      </w:r>
      <w:r w:rsidRPr="008C1B84">
        <w:rPr>
          <w:rFonts w:cstheme="minorHAnsi"/>
          <w:lang w:val="ru-RU"/>
        </w:rPr>
        <w:t>.</w:t>
      </w:r>
      <w:r w:rsidRPr="008C1B84">
        <w:rPr>
          <w:rFonts w:cstheme="minorHAnsi"/>
          <w:i/>
          <w:lang w:val="ru-RU"/>
        </w:rPr>
        <w:t xml:space="preserve"> </w:t>
      </w:r>
      <w:r w:rsidRPr="008C1B84">
        <w:rPr>
          <w:rFonts w:cstheme="minorHAnsi"/>
          <w:lang w:val="ru-RU"/>
        </w:rPr>
        <w:t xml:space="preserve">Основные изменения - во второй пятерке: с шестого по десятое место заняли </w:t>
      </w:r>
      <w:r w:rsidRPr="009C74CC">
        <w:rPr>
          <w:rFonts w:cstheme="minorHAnsi"/>
        </w:rPr>
        <w:t>VOYAH</w:t>
      </w:r>
      <w:r w:rsidRPr="008C1B84">
        <w:rPr>
          <w:rFonts w:cstheme="minorHAnsi"/>
          <w:lang w:val="ru-RU"/>
        </w:rPr>
        <w:t xml:space="preserve">, </w:t>
      </w:r>
      <w:r w:rsidRPr="009C74CC">
        <w:rPr>
          <w:rFonts w:cstheme="minorHAnsi"/>
        </w:rPr>
        <w:t>TANK</w:t>
      </w:r>
      <w:r w:rsidRPr="008C1B84">
        <w:rPr>
          <w:rFonts w:cstheme="minorHAnsi"/>
          <w:lang w:val="ru-RU"/>
        </w:rPr>
        <w:t xml:space="preserve">, </w:t>
      </w:r>
      <w:r w:rsidRPr="009C74CC">
        <w:rPr>
          <w:rFonts w:cstheme="minorHAnsi"/>
        </w:rPr>
        <w:t>GAC</w:t>
      </w:r>
      <w:r w:rsidRPr="008C1B84">
        <w:rPr>
          <w:rFonts w:cstheme="minorHAnsi"/>
          <w:lang w:val="ru-RU"/>
        </w:rPr>
        <w:t xml:space="preserve">, </w:t>
      </w:r>
      <w:r w:rsidRPr="009C74CC">
        <w:rPr>
          <w:rFonts w:cstheme="minorHAnsi"/>
        </w:rPr>
        <w:t>FAW</w:t>
      </w:r>
      <w:r w:rsidRPr="008C1B84">
        <w:rPr>
          <w:lang w:val="ru-RU"/>
        </w:rPr>
        <w:t xml:space="preserve">, </w:t>
      </w:r>
      <w:r w:rsidRPr="009C74CC">
        <w:rPr>
          <w:rFonts w:cstheme="minorHAnsi"/>
        </w:rPr>
        <w:t>HONGQI</w:t>
      </w:r>
      <w:r w:rsidRPr="008C1B84">
        <w:rPr>
          <w:rFonts w:cstheme="minorHAnsi"/>
          <w:lang w:val="ru-RU"/>
        </w:rPr>
        <w:t xml:space="preserve">. </w:t>
      </w:r>
      <w:r w:rsidRPr="009C74CC">
        <w:rPr>
          <w:rFonts w:cstheme="minorHAnsi"/>
        </w:rPr>
        <w:t>Самыми востребованными моделями стали LADA GRANTA, TENET T7, LADA LARGUS, LADA VESTA, BELGEE X50, HAVAL JOLION, BELGEE S50, LADA NIVA TRAVEL, TENET T4, VOYAH FREE EVR.</w:t>
      </w:r>
    </w:p>
    <w:p w14:paraId="0D1D8A86" w14:textId="77777777" w:rsidR="008C1B84" w:rsidRPr="009C74CC" w:rsidRDefault="008C1B84" w:rsidP="008C1B84">
      <w:pPr>
        <w:spacing w:before="120" w:line="240" w:lineRule="auto"/>
        <w:jc w:val="both"/>
        <w:rPr>
          <w:rFonts w:cstheme="minorHAnsi"/>
        </w:rPr>
      </w:pPr>
      <w:r w:rsidRPr="009C74CC">
        <w:rPr>
          <w:rFonts w:cstheme="minorHAnsi"/>
        </w:rPr>
        <w:t xml:space="preserve">Среди </w:t>
      </w:r>
      <w:r w:rsidRPr="009C74CC">
        <w:rPr>
          <w:rFonts w:cstheme="minorHAnsi"/>
          <w:b/>
        </w:rPr>
        <w:t>подержанных легковых автомобилей</w:t>
      </w:r>
      <w:r w:rsidRPr="009C74CC">
        <w:rPr>
          <w:rFonts w:cstheme="minorHAnsi"/>
        </w:rPr>
        <w:t xml:space="preserve"> чаще всего в лизинг брали машины марок LADA, KIA, HAVAL, CHERY, EXEED, а также VOLKSWAGEN, GEELY, JAECOO, MERCEDES-BENZ, BMW. В ТОП-10 моделей попали KIA RIO, LADA GRANTA, EXEED LX, JAECOO J7, HAVAL JOLION, VOLKSWAGEN POLO, LADA VESTA, CHERY ARRIZO 8, OMODA C5 и CHERY TIGGO 7 PRO MAX.</w:t>
      </w:r>
    </w:p>
    <w:p w14:paraId="4157E9DB" w14:textId="77777777" w:rsidR="008C1B84" w:rsidRPr="008C1B84" w:rsidRDefault="008C1B84" w:rsidP="008C1B84">
      <w:pPr>
        <w:spacing w:before="120" w:line="240" w:lineRule="auto"/>
        <w:jc w:val="both"/>
        <w:rPr>
          <w:rFonts w:cstheme="minorHAnsi"/>
          <w:b/>
          <w:u w:val="single"/>
          <w:lang w:val="ru-RU"/>
        </w:rPr>
      </w:pPr>
      <w:r w:rsidRPr="008C1B84">
        <w:rPr>
          <w:rFonts w:cstheme="minorHAnsi"/>
          <w:b/>
          <w:u w:val="single"/>
          <w:lang w:val="ru-RU"/>
        </w:rPr>
        <w:t>Итоги июля 2026</w:t>
      </w:r>
    </w:p>
    <w:p w14:paraId="64B352B8"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В июле 2026 года представители бизнеса оформили в лизинг 12,6 тыс. новых и подержанных легковых автомобилей, что на 10,3% больше, чем в июне 2026, но на 7,0% меньше, чем в июле 2025 года. За год лизинг сократился на 18,3%, до 8,4 тыс. автомобилей на первичном рынке и вырос на 27,9%, до 4,2 тыс. автомобилей – на вторичном.</w:t>
      </w:r>
    </w:p>
    <w:p w14:paraId="4E7946B8" w14:textId="77777777" w:rsidR="008C1B84" w:rsidRPr="008C1B84" w:rsidRDefault="008C1B84" w:rsidP="008C1B84">
      <w:pPr>
        <w:spacing w:before="120" w:line="240" w:lineRule="auto"/>
        <w:jc w:val="both"/>
        <w:rPr>
          <w:rFonts w:ascii="Calibri" w:eastAsia="Times New Roman" w:hAnsi="Calibri" w:cs="Calibri"/>
          <w:color w:val="000000"/>
          <w:lang w:val="ru-RU" w:eastAsia="ru-RU"/>
        </w:rPr>
      </w:pPr>
      <w:r w:rsidRPr="008C1B84">
        <w:rPr>
          <w:rFonts w:cstheme="minorHAnsi"/>
          <w:lang w:val="ru-RU"/>
        </w:rPr>
        <w:t xml:space="preserve">В ТОП-5 по выдаче в лизинг в июле вошли те же марки: </w:t>
      </w:r>
      <w:r w:rsidRPr="009C74CC">
        <w:rPr>
          <w:rFonts w:cstheme="minorHAnsi"/>
        </w:rPr>
        <w:t>LADA</w:t>
      </w:r>
      <w:r w:rsidRPr="008C1B84">
        <w:rPr>
          <w:rFonts w:cstheme="minorHAnsi"/>
          <w:lang w:val="ru-RU"/>
        </w:rPr>
        <w:t xml:space="preserve"> (доля 18,7%), </w:t>
      </w:r>
      <w:r w:rsidRPr="009C74CC">
        <w:rPr>
          <w:rFonts w:cstheme="minorHAnsi"/>
        </w:rPr>
        <w:t>TENET</w:t>
      </w:r>
      <w:r w:rsidRPr="008C1B84">
        <w:rPr>
          <w:rFonts w:cstheme="minorHAnsi"/>
          <w:lang w:val="ru-RU"/>
        </w:rPr>
        <w:t xml:space="preserve"> (9,3%), </w:t>
      </w:r>
      <w:r w:rsidRPr="009C74CC">
        <w:rPr>
          <w:rFonts w:cstheme="minorHAnsi"/>
        </w:rPr>
        <w:t>HAVAL</w:t>
      </w:r>
      <w:r w:rsidRPr="008C1B84">
        <w:rPr>
          <w:rFonts w:cstheme="minorHAnsi"/>
          <w:lang w:val="ru-RU"/>
        </w:rPr>
        <w:t xml:space="preserve"> (7,8%), </w:t>
      </w:r>
      <w:r w:rsidRPr="009C74CC">
        <w:rPr>
          <w:rFonts w:cstheme="minorHAnsi"/>
        </w:rPr>
        <w:t>GEELY</w:t>
      </w:r>
      <w:r w:rsidRPr="008C1B84">
        <w:rPr>
          <w:rFonts w:cstheme="minorHAnsi"/>
          <w:lang w:val="ru-RU"/>
        </w:rPr>
        <w:t xml:space="preserve"> (5,0%), </w:t>
      </w:r>
      <w:r w:rsidRPr="009C74CC">
        <w:rPr>
          <w:rFonts w:cstheme="minorHAnsi"/>
        </w:rPr>
        <w:t>BELGEE</w:t>
      </w:r>
      <w:r w:rsidRPr="008C1B84">
        <w:rPr>
          <w:rFonts w:cstheme="minorHAnsi"/>
          <w:lang w:val="ru-RU"/>
        </w:rPr>
        <w:t xml:space="preserve"> (4,6%). Активный рост показали марки </w:t>
      </w:r>
      <w:r w:rsidRPr="009C74CC">
        <w:rPr>
          <w:rFonts w:cstheme="minorHAnsi"/>
        </w:rPr>
        <w:t>KIA</w:t>
      </w:r>
      <w:r w:rsidRPr="008C1B84">
        <w:rPr>
          <w:rFonts w:cstheme="minorHAnsi"/>
          <w:lang w:val="ru-RU"/>
        </w:rPr>
        <w:t xml:space="preserve"> (+119,5%) и </w:t>
      </w:r>
      <w:r w:rsidRPr="009C74CC">
        <w:rPr>
          <w:rFonts w:cstheme="minorHAnsi"/>
        </w:rPr>
        <w:t>VOLKSWAGEN</w:t>
      </w:r>
      <w:r w:rsidRPr="008C1B84">
        <w:rPr>
          <w:rFonts w:cstheme="minorHAnsi"/>
          <w:lang w:val="ru-RU"/>
        </w:rPr>
        <w:t xml:space="preserve"> (+33,1%) и</w:t>
      </w:r>
      <w:r w:rsidRPr="008C1B84">
        <w:rPr>
          <w:rFonts w:ascii="Calibri" w:hAnsi="Calibri" w:cs="Calibri"/>
          <w:color w:val="000000"/>
          <w:lang w:val="ru-RU"/>
        </w:rPr>
        <w:t xml:space="preserve"> </w:t>
      </w:r>
      <w:r w:rsidRPr="009C74CC">
        <w:rPr>
          <w:rFonts w:ascii="Calibri" w:eastAsia="Times New Roman" w:hAnsi="Calibri" w:cs="Calibri"/>
          <w:color w:val="000000"/>
          <w:lang w:eastAsia="ru-RU"/>
        </w:rPr>
        <w:t>HAVAL</w:t>
      </w:r>
      <w:r w:rsidRPr="008C1B84">
        <w:rPr>
          <w:rFonts w:ascii="Calibri" w:eastAsia="Times New Roman" w:hAnsi="Calibri" w:cs="Calibri"/>
          <w:color w:val="000000"/>
          <w:lang w:val="ru-RU" w:eastAsia="ru-RU"/>
        </w:rPr>
        <w:t xml:space="preserve"> (19,2%).</w:t>
      </w:r>
    </w:p>
    <w:p w14:paraId="1D9ACD93"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 xml:space="preserve">Пятерка лидеров среди новых автомобилей копирует общий топ. В модельном зачете июля лидерские позиции заняли </w:t>
      </w:r>
      <w:r w:rsidRPr="009C74CC">
        <w:rPr>
          <w:rFonts w:cstheme="minorHAnsi"/>
        </w:rPr>
        <w:t>TENET</w:t>
      </w:r>
      <w:r w:rsidRPr="008C1B84">
        <w:rPr>
          <w:rFonts w:cstheme="minorHAnsi"/>
          <w:lang w:val="ru-RU"/>
        </w:rPr>
        <w:t xml:space="preserve"> </w:t>
      </w:r>
      <w:r w:rsidRPr="009C74CC">
        <w:rPr>
          <w:rFonts w:cstheme="minorHAnsi"/>
        </w:rPr>
        <w:t>T</w:t>
      </w:r>
      <w:r w:rsidRPr="008C1B84">
        <w:rPr>
          <w:rFonts w:cstheme="minorHAnsi"/>
          <w:lang w:val="ru-RU"/>
        </w:rPr>
        <w:t xml:space="preserve">7, </w:t>
      </w:r>
      <w:r w:rsidRPr="009C74CC">
        <w:rPr>
          <w:rFonts w:cstheme="minorHAnsi"/>
        </w:rPr>
        <w:t>LADA</w:t>
      </w:r>
      <w:r w:rsidRPr="008C1B84">
        <w:rPr>
          <w:rFonts w:cstheme="minorHAnsi"/>
          <w:lang w:val="ru-RU"/>
        </w:rPr>
        <w:t xml:space="preserve"> </w:t>
      </w:r>
      <w:r w:rsidRPr="009C74CC">
        <w:rPr>
          <w:rFonts w:cstheme="minorHAnsi"/>
        </w:rPr>
        <w:t>LARGUS</w:t>
      </w:r>
      <w:r w:rsidRPr="008C1B84">
        <w:rPr>
          <w:rFonts w:cstheme="minorHAnsi"/>
          <w:lang w:val="ru-RU"/>
        </w:rPr>
        <w:t xml:space="preserve">, </w:t>
      </w:r>
      <w:r w:rsidRPr="009C74CC">
        <w:rPr>
          <w:rFonts w:cstheme="minorHAnsi"/>
        </w:rPr>
        <w:t>LADA</w:t>
      </w:r>
      <w:r w:rsidRPr="008C1B84">
        <w:rPr>
          <w:rFonts w:cstheme="minorHAnsi"/>
          <w:lang w:val="ru-RU"/>
        </w:rPr>
        <w:t xml:space="preserve"> </w:t>
      </w:r>
      <w:r w:rsidRPr="009C74CC">
        <w:rPr>
          <w:rFonts w:cstheme="minorHAnsi"/>
        </w:rPr>
        <w:t>GRANTA</w:t>
      </w:r>
      <w:r w:rsidRPr="008C1B84">
        <w:rPr>
          <w:rFonts w:cstheme="minorHAnsi"/>
          <w:lang w:val="ru-RU"/>
        </w:rPr>
        <w:t xml:space="preserve">, </w:t>
      </w:r>
      <w:r w:rsidRPr="009C74CC">
        <w:rPr>
          <w:rFonts w:ascii="Calibri" w:eastAsia="Times New Roman" w:hAnsi="Calibri" w:cs="Calibri"/>
          <w:color w:val="000000"/>
          <w:lang w:eastAsia="ru-RU"/>
        </w:rPr>
        <w:t>HAVAL</w:t>
      </w:r>
      <w:r w:rsidRPr="008C1B84">
        <w:rPr>
          <w:rFonts w:ascii="Calibri" w:eastAsia="Times New Roman" w:hAnsi="Calibri" w:cs="Calibri"/>
          <w:color w:val="000000"/>
          <w:lang w:val="ru-RU" w:eastAsia="ru-RU"/>
        </w:rPr>
        <w:t xml:space="preserve"> </w:t>
      </w:r>
      <w:r w:rsidRPr="009C74CC">
        <w:rPr>
          <w:rFonts w:ascii="Calibri" w:eastAsia="Times New Roman" w:hAnsi="Calibri" w:cs="Calibri"/>
          <w:color w:val="000000"/>
          <w:lang w:eastAsia="ru-RU"/>
        </w:rPr>
        <w:t>JOLION</w:t>
      </w:r>
      <w:r w:rsidRPr="008C1B84">
        <w:rPr>
          <w:rFonts w:ascii="Calibri" w:eastAsia="Times New Roman" w:hAnsi="Calibri" w:cs="Calibri"/>
          <w:color w:val="000000"/>
          <w:lang w:val="ru-RU" w:eastAsia="ru-RU"/>
        </w:rPr>
        <w:t xml:space="preserve"> и </w:t>
      </w:r>
      <w:r w:rsidRPr="009C74CC">
        <w:rPr>
          <w:rFonts w:ascii="Calibri" w:eastAsia="Times New Roman" w:hAnsi="Calibri" w:cs="Calibri"/>
          <w:color w:val="000000"/>
          <w:lang w:eastAsia="ru-RU"/>
        </w:rPr>
        <w:t>LADA</w:t>
      </w:r>
      <w:r w:rsidRPr="008C1B84">
        <w:rPr>
          <w:rFonts w:ascii="Calibri" w:eastAsia="Times New Roman" w:hAnsi="Calibri" w:cs="Calibri"/>
          <w:color w:val="000000"/>
          <w:lang w:val="ru-RU" w:eastAsia="ru-RU"/>
        </w:rPr>
        <w:t xml:space="preserve"> </w:t>
      </w:r>
      <w:r w:rsidRPr="009C74CC">
        <w:rPr>
          <w:rFonts w:ascii="Calibri" w:eastAsia="Times New Roman" w:hAnsi="Calibri" w:cs="Calibri"/>
          <w:color w:val="000000"/>
          <w:lang w:eastAsia="ru-RU"/>
        </w:rPr>
        <w:t>VESTA</w:t>
      </w:r>
    </w:p>
    <w:p w14:paraId="56CD33E1" w14:textId="18634334" w:rsidR="008C1B84" w:rsidRDefault="008C1B84" w:rsidP="008C1B84">
      <w:pPr>
        <w:spacing w:before="120" w:line="240" w:lineRule="auto"/>
        <w:jc w:val="both"/>
        <w:rPr>
          <w:rFonts w:cstheme="minorHAnsi"/>
          <w:lang w:val="ru-RU"/>
        </w:rPr>
      </w:pPr>
      <w:r w:rsidRPr="008C1B84">
        <w:rPr>
          <w:rFonts w:cstheme="minorHAnsi"/>
          <w:lang w:val="ru-RU"/>
        </w:rPr>
        <w:t xml:space="preserve">Лидерами в топе подержанных марок стали </w:t>
      </w:r>
      <w:r w:rsidRPr="009C74CC">
        <w:rPr>
          <w:rFonts w:cstheme="minorHAnsi"/>
        </w:rPr>
        <w:t>KIA</w:t>
      </w:r>
      <w:r w:rsidRPr="008C1B84">
        <w:rPr>
          <w:rFonts w:cstheme="minorHAnsi"/>
          <w:lang w:val="ru-RU"/>
        </w:rPr>
        <w:t xml:space="preserve">, </w:t>
      </w:r>
      <w:r w:rsidRPr="009C74CC">
        <w:rPr>
          <w:rFonts w:cstheme="minorHAnsi"/>
        </w:rPr>
        <w:t>LADA</w:t>
      </w:r>
      <w:r w:rsidRPr="008C1B84">
        <w:rPr>
          <w:rFonts w:cstheme="minorHAnsi"/>
          <w:lang w:val="ru-RU"/>
        </w:rPr>
        <w:t xml:space="preserve">, </w:t>
      </w:r>
      <w:r w:rsidRPr="009C74CC">
        <w:rPr>
          <w:rFonts w:cstheme="minorHAnsi"/>
        </w:rPr>
        <w:t>VOLKSWAGEN</w:t>
      </w:r>
      <w:r w:rsidRPr="008C1B84">
        <w:rPr>
          <w:rFonts w:cstheme="minorHAnsi"/>
          <w:lang w:val="ru-RU"/>
        </w:rPr>
        <w:t>,</w:t>
      </w:r>
      <w:r w:rsidRPr="008C1B84">
        <w:rPr>
          <w:rFonts w:ascii="Calibri" w:eastAsia="Times New Roman" w:hAnsi="Calibri" w:cs="Calibri"/>
          <w:color w:val="000000"/>
          <w:lang w:val="ru-RU" w:eastAsia="ru-RU"/>
        </w:rPr>
        <w:t xml:space="preserve"> </w:t>
      </w:r>
      <w:r w:rsidRPr="009C74CC">
        <w:rPr>
          <w:rFonts w:ascii="Calibri" w:eastAsia="Times New Roman" w:hAnsi="Calibri" w:cs="Calibri"/>
          <w:color w:val="000000"/>
          <w:lang w:eastAsia="ru-RU"/>
        </w:rPr>
        <w:t>CHERY</w:t>
      </w:r>
      <w:r w:rsidRPr="008C1B84">
        <w:rPr>
          <w:rFonts w:ascii="Calibri" w:eastAsia="Times New Roman" w:hAnsi="Calibri" w:cs="Calibri"/>
          <w:color w:val="000000"/>
          <w:lang w:val="ru-RU" w:eastAsia="ru-RU"/>
        </w:rPr>
        <w:t xml:space="preserve"> и </w:t>
      </w:r>
      <w:r w:rsidRPr="009C74CC">
        <w:rPr>
          <w:rFonts w:ascii="Calibri" w:eastAsia="Times New Roman" w:hAnsi="Calibri" w:cs="Calibri"/>
          <w:color w:val="000000"/>
          <w:lang w:eastAsia="ru-RU"/>
        </w:rPr>
        <w:t>HAVAL</w:t>
      </w:r>
      <w:r w:rsidRPr="008C1B84">
        <w:rPr>
          <w:rFonts w:cstheme="minorHAnsi"/>
          <w:lang w:val="ru-RU"/>
        </w:rPr>
        <w:t xml:space="preserve">. Наиболее востребованными на вторичном рынке моделями оказались </w:t>
      </w:r>
      <w:r w:rsidRPr="009C74CC">
        <w:rPr>
          <w:rFonts w:cstheme="minorHAnsi"/>
        </w:rPr>
        <w:t>KIA</w:t>
      </w:r>
      <w:r w:rsidRPr="008C1B84">
        <w:rPr>
          <w:rFonts w:cstheme="minorHAnsi"/>
          <w:lang w:val="ru-RU"/>
        </w:rPr>
        <w:t xml:space="preserve"> </w:t>
      </w:r>
      <w:r w:rsidRPr="009C74CC">
        <w:rPr>
          <w:rFonts w:cstheme="minorHAnsi"/>
        </w:rPr>
        <w:t>RIO</w:t>
      </w:r>
      <w:r w:rsidRPr="008C1B84">
        <w:rPr>
          <w:rFonts w:cstheme="minorHAnsi"/>
          <w:lang w:val="ru-RU"/>
        </w:rPr>
        <w:t xml:space="preserve">, </w:t>
      </w:r>
      <w:r w:rsidRPr="009C74CC">
        <w:rPr>
          <w:rFonts w:cstheme="minorHAnsi"/>
        </w:rPr>
        <w:t>VOLKSWAGEN</w:t>
      </w:r>
      <w:r w:rsidRPr="008C1B84">
        <w:rPr>
          <w:rFonts w:cstheme="minorHAnsi"/>
          <w:lang w:val="ru-RU"/>
        </w:rPr>
        <w:t xml:space="preserve"> </w:t>
      </w:r>
      <w:r w:rsidRPr="009C74CC">
        <w:rPr>
          <w:rFonts w:cstheme="minorHAnsi"/>
        </w:rPr>
        <w:t>POLO</w:t>
      </w:r>
      <w:r w:rsidRPr="008C1B84">
        <w:rPr>
          <w:rFonts w:cstheme="minorHAnsi"/>
          <w:lang w:val="ru-RU"/>
        </w:rPr>
        <w:t xml:space="preserve">, </w:t>
      </w:r>
      <w:r w:rsidRPr="009C74CC">
        <w:rPr>
          <w:rFonts w:cstheme="minorHAnsi"/>
        </w:rPr>
        <w:t>EXEED</w:t>
      </w:r>
      <w:r w:rsidRPr="008C1B84">
        <w:rPr>
          <w:rFonts w:cstheme="minorHAnsi"/>
          <w:lang w:val="ru-RU"/>
        </w:rPr>
        <w:t xml:space="preserve"> </w:t>
      </w:r>
      <w:r w:rsidRPr="009C74CC">
        <w:rPr>
          <w:rFonts w:cstheme="minorHAnsi"/>
        </w:rPr>
        <w:t>LX</w:t>
      </w:r>
      <w:r w:rsidRPr="008C1B84">
        <w:rPr>
          <w:rFonts w:cstheme="minorHAnsi"/>
          <w:lang w:val="ru-RU"/>
        </w:rPr>
        <w:t xml:space="preserve">, </w:t>
      </w:r>
      <w:r w:rsidRPr="009C74CC">
        <w:rPr>
          <w:rFonts w:ascii="Calibri" w:eastAsia="Times New Roman" w:hAnsi="Calibri" w:cs="Calibri"/>
          <w:color w:val="000000"/>
          <w:lang w:eastAsia="ru-RU"/>
        </w:rPr>
        <w:t>JAECOO</w:t>
      </w:r>
      <w:r w:rsidRPr="008C1B84">
        <w:rPr>
          <w:rFonts w:ascii="Calibri" w:eastAsia="Times New Roman" w:hAnsi="Calibri" w:cs="Calibri"/>
          <w:color w:val="000000"/>
          <w:lang w:val="ru-RU" w:eastAsia="ru-RU"/>
        </w:rPr>
        <w:t xml:space="preserve"> </w:t>
      </w:r>
      <w:r w:rsidRPr="009C74CC">
        <w:rPr>
          <w:rFonts w:ascii="Calibri" w:eastAsia="Times New Roman" w:hAnsi="Calibri" w:cs="Calibri"/>
          <w:color w:val="000000"/>
          <w:lang w:eastAsia="ru-RU"/>
        </w:rPr>
        <w:t>J</w:t>
      </w:r>
      <w:r w:rsidRPr="008C1B84">
        <w:rPr>
          <w:rFonts w:ascii="Calibri" w:eastAsia="Times New Roman" w:hAnsi="Calibri" w:cs="Calibri"/>
          <w:color w:val="000000"/>
          <w:lang w:val="ru-RU" w:eastAsia="ru-RU"/>
        </w:rPr>
        <w:t xml:space="preserve">7 и </w:t>
      </w:r>
      <w:r w:rsidRPr="009C74CC">
        <w:rPr>
          <w:rFonts w:ascii="Calibri" w:eastAsia="Times New Roman" w:hAnsi="Calibri" w:cs="Calibri"/>
          <w:color w:val="000000"/>
          <w:lang w:eastAsia="ru-RU"/>
        </w:rPr>
        <w:t>LADA</w:t>
      </w:r>
      <w:r w:rsidRPr="008C1B84">
        <w:rPr>
          <w:rFonts w:ascii="Calibri" w:eastAsia="Times New Roman" w:hAnsi="Calibri" w:cs="Calibri"/>
          <w:color w:val="000000"/>
          <w:lang w:val="ru-RU" w:eastAsia="ru-RU"/>
        </w:rPr>
        <w:t xml:space="preserve"> </w:t>
      </w:r>
      <w:r w:rsidRPr="009C74CC">
        <w:rPr>
          <w:rFonts w:ascii="Calibri" w:eastAsia="Times New Roman" w:hAnsi="Calibri" w:cs="Calibri"/>
          <w:color w:val="000000"/>
          <w:lang w:eastAsia="ru-RU"/>
        </w:rPr>
        <w:t>GRANTA</w:t>
      </w:r>
      <w:r w:rsidRPr="008C1B84">
        <w:rPr>
          <w:rFonts w:ascii="Calibri" w:eastAsia="Times New Roman" w:hAnsi="Calibri" w:cs="Calibri"/>
          <w:color w:val="000000"/>
          <w:lang w:val="ru-RU" w:eastAsia="ru-RU"/>
        </w:rPr>
        <w:t>.</w:t>
      </w:r>
    </w:p>
    <w:p w14:paraId="3315D0CC" w14:textId="77777777" w:rsidR="008C1B84" w:rsidRPr="008C1B84" w:rsidRDefault="008C1B84" w:rsidP="008C1B84">
      <w:pPr>
        <w:rPr>
          <w:rFonts w:cstheme="minorHAnsi"/>
          <w:lang w:val="ru-RU"/>
        </w:rPr>
      </w:pPr>
    </w:p>
    <w:p w14:paraId="194C106A" w14:textId="77777777" w:rsidR="008C1B84" w:rsidRPr="008C1B84" w:rsidRDefault="008C1B84" w:rsidP="008C1B84">
      <w:pPr>
        <w:spacing w:before="120" w:line="240" w:lineRule="auto"/>
        <w:jc w:val="both"/>
        <w:rPr>
          <w:rFonts w:cstheme="minorHAnsi"/>
          <w:b/>
          <w:lang w:val="ru-RU"/>
        </w:rPr>
      </w:pPr>
      <w:r w:rsidRPr="008C1B84">
        <w:rPr>
          <w:rFonts w:cstheme="minorHAnsi"/>
          <w:lang w:val="ru-RU"/>
        </w:rPr>
        <w:lastRenderedPageBreak/>
        <w:t xml:space="preserve"> «Корпоративные продажи легковых автомобилей пока не могут восстановиться в отличие от продаж частным потребителям. Реализация и новых, и подержанных автомобилей корпоративным клиентам без привлечения лизинга по итогам 7 месяцев текущего года снизилась. На этом фоне лизинговые продажи выглядят лучше, к примеру, лизинг подержанных легковых авто вырос на 41,6%. Лизинг новых автомобилей снизился на 7,4%, тогда как продажи корпоративным клиентам с помощью иных форм финансирования упали почти на 16%», – отметила </w:t>
      </w:r>
      <w:r w:rsidRPr="008C1B84">
        <w:rPr>
          <w:rFonts w:cstheme="minorHAnsi"/>
          <w:b/>
          <w:lang w:val="ru-RU"/>
        </w:rPr>
        <w:t xml:space="preserve">генеральный директор НАПИ Татьяна Арабаджи. </w:t>
      </w:r>
    </w:p>
    <w:p w14:paraId="161E6589" w14:textId="77777777" w:rsidR="008C1B84" w:rsidRPr="008C1B84" w:rsidRDefault="008C1B84" w:rsidP="008C1B84">
      <w:pPr>
        <w:spacing w:before="120" w:line="240" w:lineRule="auto"/>
        <w:jc w:val="both"/>
        <w:rPr>
          <w:rFonts w:cstheme="minorHAnsi"/>
          <w:lang w:val="ru-RU"/>
        </w:rPr>
      </w:pPr>
      <w:r w:rsidRPr="008C1B84">
        <w:rPr>
          <w:rFonts w:cstheme="minorHAnsi"/>
          <w:lang w:val="ru-RU"/>
        </w:rPr>
        <w:t xml:space="preserve">«Лизинг легковых отечественных брендов, оформляемых в лизинг, продолжает расти, тогда как лизинг китайского транспорта демонстрирует снижение. В целом это соответствует общерыночным трендам и изменению структуры авторетейла, где доли продаж отечественных и китайских брендов по итогам июля почти сравнялись. Иностранные бренды продолжают адаптироваться под российский рынок, меняются схемы производства, появляются совместные проекты. При этом бизнес вновь стал гораздо внимательнее считать экономику владения транспортом: проникновение лизинга в корпоративные продажи легковых автомобилей растет как в сегменте новых, так и подержанных автомобилей», - прокомментировал </w:t>
      </w:r>
      <w:r w:rsidRPr="008C1B84">
        <w:rPr>
          <w:rFonts w:cstheme="minorHAnsi"/>
          <w:b/>
          <w:lang w:val="ru-RU"/>
        </w:rPr>
        <w:t>директор департамента продаж Газпромбанк Автолизинга Николай Фомин.</w:t>
      </w:r>
    </w:p>
    <w:p w14:paraId="272A06FF" w14:textId="77777777" w:rsidR="008C1B84" w:rsidRPr="008C1B84" w:rsidRDefault="008C1B84" w:rsidP="008C1B84">
      <w:pPr>
        <w:spacing w:before="120" w:after="0" w:line="240" w:lineRule="auto"/>
        <w:rPr>
          <w:rFonts w:cstheme="minorHAnsi"/>
          <w:b/>
          <w:lang w:val="ru-RU"/>
        </w:rPr>
      </w:pPr>
      <w:r w:rsidRPr="008C1B84">
        <w:rPr>
          <w:rFonts w:cstheme="minorHAnsi"/>
          <w:b/>
          <w:lang w:val="ru-RU"/>
        </w:rPr>
        <w:t xml:space="preserve">Лизинг* новых и подержанных легковых автомобилей, тыс. шт.  </w:t>
      </w:r>
    </w:p>
    <w:tbl>
      <w:tblPr>
        <w:tblW w:w="5000" w:type="pct"/>
        <w:tblLook w:val="04A0" w:firstRow="1" w:lastRow="0" w:firstColumn="1" w:lastColumn="0" w:noHBand="0" w:noVBand="1"/>
      </w:tblPr>
      <w:tblGrid>
        <w:gridCol w:w="2238"/>
        <w:gridCol w:w="1303"/>
        <w:gridCol w:w="1303"/>
        <w:gridCol w:w="1302"/>
        <w:gridCol w:w="1302"/>
        <w:gridCol w:w="1302"/>
        <w:gridCol w:w="1300"/>
      </w:tblGrid>
      <w:tr w:rsidR="008C1B84" w:rsidRPr="009C74CC" w14:paraId="2B36B59D" w14:textId="77777777" w:rsidTr="002A6DA0">
        <w:trPr>
          <w:trHeight w:val="284"/>
        </w:trPr>
        <w:tc>
          <w:tcPr>
            <w:tcW w:w="1113" w:type="pct"/>
            <w:tcBorders>
              <w:top w:val="single" w:sz="8" w:space="0" w:color="auto"/>
              <w:left w:val="single" w:sz="8" w:space="0" w:color="auto"/>
              <w:bottom w:val="single" w:sz="4" w:space="0" w:color="auto"/>
              <w:right w:val="single" w:sz="4" w:space="0" w:color="auto"/>
            </w:tcBorders>
            <w:noWrap/>
            <w:vAlign w:val="center"/>
            <w:hideMark/>
          </w:tcPr>
          <w:p w14:paraId="125B3064" w14:textId="77777777" w:rsidR="008C1B84" w:rsidRPr="009C74CC" w:rsidRDefault="008C1B84" w:rsidP="002A6DA0">
            <w:pPr>
              <w:spacing w:before="120" w:line="240" w:lineRule="auto"/>
              <w:rPr>
                <w:rFonts w:cstheme="minorHAnsi"/>
                <w:b/>
              </w:rPr>
            </w:pPr>
            <w:r w:rsidRPr="009C74CC">
              <w:rPr>
                <w:rFonts w:cstheme="minorHAnsi"/>
                <w:b/>
              </w:rPr>
              <w:t>Новые/Подержанные</w:t>
            </w:r>
          </w:p>
        </w:tc>
        <w:tc>
          <w:tcPr>
            <w:tcW w:w="648" w:type="pct"/>
            <w:tcBorders>
              <w:top w:val="single" w:sz="8" w:space="0" w:color="auto"/>
              <w:left w:val="nil"/>
              <w:bottom w:val="single" w:sz="4" w:space="0" w:color="auto"/>
              <w:right w:val="single" w:sz="4" w:space="0" w:color="auto"/>
            </w:tcBorders>
            <w:vAlign w:val="center"/>
            <w:hideMark/>
          </w:tcPr>
          <w:p w14:paraId="4F5C384E" w14:textId="77777777" w:rsidR="008C1B84" w:rsidRPr="009C74CC" w:rsidRDefault="008C1B84" w:rsidP="002A6DA0">
            <w:pPr>
              <w:spacing w:before="120" w:line="240" w:lineRule="auto"/>
              <w:rPr>
                <w:rFonts w:cstheme="minorHAnsi"/>
                <w:b/>
              </w:rPr>
            </w:pPr>
            <w:r w:rsidRPr="009C74CC">
              <w:rPr>
                <w:rFonts w:cstheme="minorHAnsi"/>
                <w:b/>
              </w:rPr>
              <w:t xml:space="preserve">2025 </w:t>
            </w:r>
            <w:r w:rsidRPr="009C74CC">
              <w:rPr>
                <w:rFonts w:cstheme="minorHAnsi"/>
                <w:b/>
              </w:rPr>
              <w:br/>
              <w:t>(01-07)</w:t>
            </w:r>
          </w:p>
        </w:tc>
        <w:tc>
          <w:tcPr>
            <w:tcW w:w="648" w:type="pct"/>
            <w:tcBorders>
              <w:top w:val="single" w:sz="8" w:space="0" w:color="auto"/>
              <w:left w:val="nil"/>
              <w:bottom w:val="single" w:sz="4" w:space="0" w:color="auto"/>
              <w:right w:val="single" w:sz="4" w:space="0" w:color="auto"/>
            </w:tcBorders>
            <w:vAlign w:val="center"/>
            <w:hideMark/>
          </w:tcPr>
          <w:p w14:paraId="1FE8E938" w14:textId="77777777" w:rsidR="008C1B84" w:rsidRPr="009C74CC" w:rsidRDefault="008C1B84" w:rsidP="002A6DA0">
            <w:pPr>
              <w:spacing w:before="120" w:line="240" w:lineRule="auto"/>
              <w:rPr>
                <w:rFonts w:cstheme="minorHAnsi"/>
                <w:b/>
              </w:rPr>
            </w:pPr>
            <w:r w:rsidRPr="009C74CC">
              <w:rPr>
                <w:rFonts w:cstheme="minorHAnsi"/>
                <w:b/>
              </w:rPr>
              <w:t xml:space="preserve">2026 </w:t>
            </w:r>
            <w:r w:rsidRPr="009C74CC">
              <w:rPr>
                <w:rFonts w:cstheme="minorHAnsi"/>
                <w:b/>
              </w:rPr>
              <w:br/>
              <w:t>(01-07)</w:t>
            </w:r>
          </w:p>
        </w:tc>
        <w:tc>
          <w:tcPr>
            <w:tcW w:w="648" w:type="pct"/>
            <w:tcBorders>
              <w:top w:val="single" w:sz="8" w:space="0" w:color="auto"/>
              <w:left w:val="nil"/>
              <w:bottom w:val="single" w:sz="4" w:space="0" w:color="auto"/>
              <w:right w:val="single" w:sz="4" w:space="0" w:color="auto"/>
            </w:tcBorders>
            <w:vAlign w:val="center"/>
            <w:hideMark/>
          </w:tcPr>
          <w:p w14:paraId="4547DDDD" w14:textId="77777777" w:rsidR="008C1B84" w:rsidRPr="009C74CC" w:rsidRDefault="008C1B84" w:rsidP="002A6DA0">
            <w:pPr>
              <w:spacing w:before="120" w:line="240" w:lineRule="auto"/>
              <w:rPr>
                <w:rFonts w:cstheme="minorHAnsi"/>
                <w:b/>
              </w:rPr>
            </w:pPr>
            <w:r w:rsidRPr="009C74CC">
              <w:rPr>
                <w:rFonts w:cstheme="minorHAnsi"/>
                <w:b/>
              </w:rPr>
              <w:t>Динамика 2026/2025 (01-07)</w:t>
            </w:r>
          </w:p>
        </w:tc>
        <w:tc>
          <w:tcPr>
            <w:tcW w:w="648" w:type="pct"/>
            <w:tcBorders>
              <w:top w:val="single" w:sz="8" w:space="0" w:color="auto"/>
              <w:left w:val="nil"/>
              <w:bottom w:val="single" w:sz="4" w:space="0" w:color="auto"/>
              <w:right w:val="single" w:sz="4" w:space="0" w:color="auto"/>
            </w:tcBorders>
            <w:vAlign w:val="center"/>
            <w:hideMark/>
          </w:tcPr>
          <w:p w14:paraId="71173CED" w14:textId="77777777" w:rsidR="008C1B84" w:rsidRPr="009C74CC" w:rsidRDefault="008C1B84" w:rsidP="002A6DA0">
            <w:pPr>
              <w:spacing w:before="120" w:line="240" w:lineRule="auto"/>
              <w:rPr>
                <w:rFonts w:cstheme="minorHAnsi"/>
                <w:b/>
              </w:rPr>
            </w:pPr>
            <w:r w:rsidRPr="009C74CC">
              <w:rPr>
                <w:rFonts w:cstheme="minorHAnsi"/>
                <w:b/>
              </w:rPr>
              <w:t>2025 (07)</w:t>
            </w:r>
          </w:p>
        </w:tc>
        <w:tc>
          <w:tcPr>
            <w:tcW w:w="648" w:type="pct"/>
            <w:tcBorders>
              <w:top w:val="single" w:sz="8" w:space="0" w:color="auto"/>
              <w:left w:val="nil"/>
              <w:bottom w:val="single" w:sz="4" w:space="0" w:color="auto"/>
              <w:right w:val="single" w:sz="4" w:space="0" w:color="auto"/>
            </w:tcBorders>
            <w:vAlign w:val="center"/>
            <w:hideMark/>
          </w:tcPr>
          <w:p w14:paraId="2389418B" w14:textId="77777777" w:rsidR="008C1B84" w:rsidRPr="009C74CC" w:rsidRDefault="008C1B84" w:rsidP="002A6DA0">
            <w:pPr>
              <w:spacing w:before="120" w:line="240" w:lineRule="auto"/>
              <w:rPr>
                <w:rFonts w:cstheme="minorHAnsi"/>
                <w:b/>
              </w:rPr>
            </w:pPr>
            <w:r w:rsidRPr="009C74CC">
              <w:rPr>
                <w:rFonts w:cstheme="minorHAnsi"/>
                <w:b/>
              </w:rPr>
              <w:t>2026 (07)</w:t>
            </w:r>
          </w:p>
        </w:tc>
        <w:tc>
          <w:tcPr>
            <w:tcW w:w="647" w:type="pct"/>
            <w:tcBorders>
              <w:top w:val="single" w:sz="8" w:space="0" w:color="auto"/>
              <w:left w:val="nil"/>
              <w:bottom w:val="single" w:sz="4" w:space="0" w:color="auto"/>
              <w:right w:val="single" w:sz="4" w:space="0" w:color="auto"/>
            </w:tcBorders>
            <w:vAlign w:val="center"/>
            <w:hideMark/>
          </w:tcPr>
          <w:p w14:paraId="63A42545" w14:textId="77777777" w:rsidR="008C1B84" w:rsidRPr="009C74CC" w:rsidRDefault="008C1B84" w:rsidP="002A6DA0">
            <w:pPr>
              <w:spacing w:before="120" w:line="240" w:lineRule="auto"/>
              <w:rPr>
                <w:rFonts w:cstheme="minorHAnsi"/>
                <w:b/>
              </w:rPr>
            </w:pPr>
            <w:r w:rsidRPr="009C74CC">
              <w:rPr>
                <w:rFonts w:cstheme="minorHAnsi"/>
                <w:b/>
              </w:rPr>
              <w:t>Динамика 2026/2025 (07)</w:t>
            </w:r>
          </w:p>
        </w:tc>
      </w:tr>
      <w:tr w:rsidR="008C1B84" w:rsidRPr="009C74CC" w14:paraId="1D1A6C29" w14:textId="77777777" w:rsidTr="002A6DA0">
        <w:trPr>
          <w:trHeight w:val="284"/>
        </w:trPr>
        <w:tc>
          <w:tcPr>
            <w:tcW w:w="1113" w:type="pct"/>
            <w:tcBorders>
              <w:top w:val="nil"/>
              <w:left w:val="single" w:sz="8" w:space="0" w:color="auto"/>
              <w:bottom w:val="single" w:sz="4" w:space="0" w:color="auto"/>
              <w:right w:val="single" w:sz="4" w:space="0" w:color="auto"/>
            </w:tcBorders>
            <w:noWrap/>
            <w:vAlign w:val="center"/>
            <w:hideMark/>
          </w:tcPr>
          <w:p w14:paraId="6CE210F0" w14:textId="77777777" w:rsidR="008C1B84" w:rsidRPr="009C74CC" w:rsidRDefault="008C1B84" w:rsidP="002A6DA0">
            <w:pPr>
              <w:spacing w:before="120" w:line="240" w:lineRule="auto"/>
              <w:rPr>
                <w:rFonts w:cstheme="minorHAnsi"/>
              </w:rPr>
            </w:pPr>
            <w:r w:rsidRPr="009C74CC">
              <w:rPr>
                <w:rFonts w:cstheme="minorHAnsi"/>
              </w:rPr>
              <w:t>Подержанные</w:t>
            </w:r>
          </w:p>
        </w:tc>
        <w:tc>
          <w:tcPr>
            <w:tcW w:w="648" w:type="pct"/>
            <w:tcBorders>
              <w:top w:val="nil"/>
              <w:left w:val="nil"/>
              <w:bottom w:val="single" w:sz="4" w:space="0" w:color="auto"/>
              <w:right w:val="single" w:sz="4" w:space="0" w:color="auto"/>
            </w:tcBorders>
            <w:noWrap/>
            <w:vAlign w:val="center"/>
            <w:hideMark/>
          </w:tcPr>
          <w:p w14:paraId="37B0BD46" w14:textId="77777777" w:rsidR="008C1B84" w:rsidRPr="009C74CC" w:rsidRDefault="008C1B84" w:rsidP="002A6DA0">
            <w:pPr>
              <w:spacing w:before="120" w:line="240" w:lineRule="auto"/>
              <w:rPr>
                <w:rFonts w:cstheme="minorHAnsi"/>
              </w:rPr>
            </w:pPr>
            <w:r w:rsidRPr="009C74CC">
              <w:rPr>
                <w:rFonts w:cstheme="minorHAnsi"/>
              </w:rPr>
              <w:t>17,4</w:t>
            </w:r>
          </w:p>
        </w:tc>
        <w:tc>
          <w:tcPr>
            <w:tcW w:w="648" w:type="pct"/>
            <w:tcBorders>
              <w:top w:val="nil"/>
              <w:left w:val="nil"/>
              <w:bottom w:val="single" w:sz="4" w:space="0" w:color="auto"/>
              <w:right w:val="single" w:sz="4" w:space="0" w:color="auto"/>
            </w:tcBorders>
            <w:noWrap/>
            <w:vAlign w:val="center"/>
            <w:hideMark/>
          </w:tcPr>
          <w:p w14:paraId="125A0A76" w14:textId="77777777" w:rsidR="008C1B84" w:rsidRPr="009C74CC" w:rsidRDefault="008C1B84" w:rsidP="002A6DA0">
            <w:pPr>
              <w:spacing w:before="120" w:line="240" w:lineRule="auto"/>
              <w:rPr>
                <w:rFonts w:cstheme="minorHAnsi"/>
              </w:rPr>
            </w:pPr>
            <w:r w:rsidRPr="009C74CC">
              <w:rPr>
                <w:rFonts w:cstheme="minorHAnsi"/>
              </w:rPr>
              <w:t>24,7</w:t>
            </w:r>
          </w:p>
        </w:tc>
        <w:tc>
          <w:tcPr>
            <w:tcW w:w="648" w:type="pct"/>
            <w:tcBorders>
              <w:top w:val="nil"/>
              <w:left w:val="nil"/>
              <w:bottom w:val="single" w:sz="4" w:space="0" w:color="auto"/>
              <w:right w:val="single" w:sz="4" w:space="0" w:color="auto"/>
            </w:tcBorders>
            <w:noWrap/>
            <w:vAlign w:val="bottom"/>
            <w:hideMark/>
          </w:tcPr>
          <w:p w14:paraId="23501727" w14:textId="77777777" w:rsidR="008C1B84" w:rsidRPr="009C74CC" w:rsidRDefault="008C1B84" w:rsidP="002A6DA0">
            <w:pPr>
              <w:spacing w:before="120" w:line="240" w:lineRule="auto"/>
              <w:rPr>
                <w:rFonts w:cstheme="minorHAnsi"/>
              </w:rPr>
            </w:pPr>
            <w:r w:rsidRPr="009C74CC">
              <w:rPr>
                <w:rFonts w:cstheme="minorHAnsi"/>
              </w:rPr>
              <w:t>41,6%</w:t>
            </w:r>
          </w:p>
        </w:tc>
        <w:tc>
          <w:tcPr>
            <w:tcW w:w="648" w:type="pct"/>
            <w:tcBorders>
              <w:top w:val="nil"/>
              <w:left w:val="nil"/>
              <w:bottom w:val="single" w:sz="4" w:space="0" w:color="auto"/>
              <w:right w:val="single" w:sz="4" w:space="0" w:color="auto"/>
            </w:tcBorders>
            <w:noWrap/>
            <w:vAlign w:val="center"/>
            <w:hideMark/>
          </w:tcPr>
          <w:p w14:paraId="5294F52E" w14:textId="77777777" w:rsidR="008C1B84" w:rsidRPr="009C74CC" w:rsidRDefault="008C1B84" w:rsidP="002A6DA0">
            <w:pPr>
              <w:spacing w:before="120" w:line="240" w:lineRule="auto"/>
              <w:rPr>
                <w:rFonts w:cstheme="minorHAnsi"/>
              </w:rPr>
            </w:pPr>
            <w:r w:rsidRPr="009C74CC">
              <w:rPr>
                <w:rFonts w:cstheme="minorHAnsi"/>
              </w:rPr>
              <w:t>3,3</w:t>
            </w:r>
          </w:p>
        </w:tc>
        <w:tc>
          <w:tcPr>
            <w:tcW w:w="648" w:type="pct"/>
            <w:tcBorders>
              <w:top w:val="nil"/>
              <w:left w:val="nil"/>
              <w:bottom w:val="single" w:sz="4" w:space="0" w:color="auto"/>
              <w:right w:val="single" w:sz="4" w:space="0" w:color="auto"/>
            </w:tcBorders>
            <w:noWrap/>
            <w:vAlign w:val="center"/>
            <w:hideMark/>
          </w:tcPr>
          <w:p w14:paraId="378EC086" w14:textId="77777777" w:rsidR="008C1B84" w:rsidRPr="009C74CC" w:rsidRDefault="008C1B84" w:rsidP="002A6DA0">
            <w:pPr>
              <w:spacing w:before="120" w:line="240" w:lineRule="auto"/>
              <w:rPr>
                <w:rFonts w:cstheme="minorHAnsi"/>
              </w:rPr>
            </w:pPr>
            <w:r w:rsidRPr="009C74CC">
              <w:rPr>
                <w:rFonts w:cstheme="minorHAnsi"/>
              </w:rPr>
              <w:t>4,2</w:t>
            </w:r>
          </w:p>
        </w:tc>
        <w:tc>
          <w:tcPr>
            <w:tcW w:w="647" w:type="pct"/>
            <w:tcBorders>
              <w:top w:val="nil"/>
              <w:left w:val="nil"/>
              <w:bottom w:val="single" w:sz="4" w:space="0" w:color="auto"/>
              <w:right w:val="single" w:sz="4" w:space="0" w:color="auto"/>
            </w:tcBorders>
            <w:noWrap/>
            <w:vAlign w:val="bottom"/>
            <w:hideMark/>
          </w:tcPr>
          <w:p w14:paraId="7A7CB436" w14:textId="77777777" w:rsidR="008C1B84" w:rsidRPr="009C74CC" w:rsidRDefault="008C1B84" w:rsidP="002A6DA0">
            <w:pPr>
              <w:spacing w:before="120" w:line="240" w:lineRule="auto"/>
              <w:rPr>
                <w:rFonts w:cstheme="minorHAnsi"/>
              </w:rPr>
            </w:pPr>
            <w:r w:rsidRPr="009C74CC">
              <w:rPr>
                <w:rFonts w:cstheme="minorHAnsi"/>
              </w:rPr>
              <w:t>27,9%</w:t>
            </w:r>
          </w:p>
        </w:tc>
      </w:tr>
      <w:tr w:rsidR="008C1B84" w:rsidRPr="009C74CC" w14:paraId="40759198" w14:textId="77777777" w:rsidTr="002A6DA0">
        <w:trPr>
          <w:trHeight w:val="284"/>
        </w:trPr>
        <w:tc>
          <w:tcPr>
            <w:tcW w:w="1113" w:type="pct"/>
            <w:tcBorders>
              <w:top w:val="nil"/>
              <w:left w:val="single" w:sz="8" w:space="0" w:color="auto"/>
              <w:bottom w:val="single" w:sz="4" w:space="0" w:color="auto"/>
              <w:right w:val="single" w:sz="4" w:space="0" w:color="auto"/>
            </w:tcBorders>
            <w:noWrap/>
            <w:vAlign w:val="center"/>
            <w:hideMark/>
          </w:tcPr>
          <w:p w14:paraId="19B43424" w14:textId="77777777" w:rsidR="008C1B84" w:rsidRPr="009C74CC" w:rsidRDefault="008C1B84" w:rsidP="002A6DA0">
            <w:pPr>
              <w:spacing w:before="120" w:line="240" w:lineRule="auto"/>
              <w:rPr>
                <w:rFonts w:cstheme="minorHAnsi"/>
              </w:rPr>
            </w:pPr>
            <w:r w:rsidRPr="009C74CC">
              <w:rPr>
                <w:rFonts w:cstheme="minorHAnsi"/>
              </w:rPr>
              <w:t>Новые</w:t>
            </w:r>
          </w:p>
        </w:tc>
        <w:tc>
          <w:tcPr>
            <w:tcW w:w="648" w:type="pct"/>
            <w:tcBorders>
              <w:top w:val="nil"/>
              <w:left w:val="nil"/>
              <w:bottom w:val="single" w:sz="4" w:space="0" w:color="auto"/>
              <w:right w:val="single" w:sz="4" w:space="0" w:color="auto"/>
            </w:tcBorders>
            <w:noWrap/>
            <w:vAlign w:val="center"/>
            <w:hideMark/>
          </w:tcPr>
          <w:p w14:paraId="31411B5A" w14:textId="77777777" w:rsidR="008C1B84" w:rsidRPr="009C74CC" w:rsidRDefault="008C1B84" w:rsidP="002A6DA0">
            <w:pPr>
              <w:spacing w:before="120" w:line="240" w:lineRule="auto"/>
              <w:rPr>
                <w:rFonts w:cstheme="minorHAnsi"/>
              </w:rPr>
            </w:pPr>
            <w:r w:rsidRPr="009C74CC">
              <w:rPr>
                <w:rFonts w:cstheme="minorHAnsi"/>
              </w:rPr>
              <w:t>62,0</w:t>
            </w:r>
          </w:p>
        </w:tc>
        <w:tc>
          <w:tcPr>
            <w:tcW w:w="648" w:type="pct"/>
            <w:tcBorders>
              <w:top w:val="nil"/>
              <w:left w:val="nil"/>
              <w:bottom w:val="single" w:sz="4" w:space="0" w:color="auto"/>
              <w:right w:val="single" w:sz="4" w:space="0" w:color="auto"/>
            </w:tcBorders>
            <w:noWrap/>
            <w:vAlign w:val="center"/>
            <w:hideMark/>
          </w:tcPr>
          <w:p w14:paraId="29C3101B" w14:textId="77777777" w:rsidR="008C1B84" w:rsidRPr="009C74CC" w:rsidRDefault="008C1B84" w:rsidP="002A6DA0">
            <w:pPr>
              <w:spacing w:before="120" w:line="240" w:lineRule="auto"/>
              <w:rPr>
                <w:rFonts w:cstheme="minorHAnsi"/>
              </w:rPr>
            </w:pPr>
            <w:r w:rsidRPr="009C74CC">
              <w:rPr>
                <w:rFonts w:cstheme="minorHAnsi"/>
              </w:rPr>
              <w:t>57,4</w:t>
            </w:r>
          </w:p>
        </w:tc>
        <w:tc>
          <w:tcPr>
            <w:tcW w:w="648" w:type="pct"/>
            <w:tcBorders>
              <w:top w:val="nil"/>
              <w:left w:val="nil"/>
              <w:bottom w:val="single" w:sz="4" w:space="0" w:color="auto"/>
              <w:right w:val="single" w:sz="4" w:space="0" w:color="auto"/>
            </w:tcBorders>
            <w:noWrap/>
            <w:vAlign w:val="center"/>
            <w:hideMark/>
          </w:tcPr>
          <w:p w14:paraId="3B4DAF6E" w14:textId="77777777" w:rsidR="008C1B84" w:rsidRPr="009C74CC" w:rsidRDefault="008C1B84" w:rsidP="002A6DA0">
            <w:pPr>
              <w:spacing w:before="120" w:line="240" w:lineRule="auto"/>
              <w:rPr>
                <w:rFonts w:cstheme="minorHAnsi"/>
              </w:rPr>
            </w:pPr>
            <w:r w:rsidRPr="009C74CC">
              <w:rPr>
                <w:rFonts w:cstheme="minorHAnsi"/>
              </w:rPr>
              <w:t>-5,2%</w:t>
            </w:r>
          </w:p>
        </w:tc>
        <w:tc>
          <w:tcPr>
            <w:tcW w:w="648" w:type="pct"/>
            <w:tcBorders>
              <w:top w:val="nil"/>
              <w:left w:val="nil"/>
              <w:bottom w:val="single" w:sz="4" w:space="0" w:color="auto"/>
              <w:right w:val="single" w:sz="4" w:space="0" w:color="auto"/>
            </w:tcBorders>
            <w:noWrap/>
            <w:vAlign w:val="center"/>
            <w:hideMark/>
          </w:tcPr>
          <w:p w14:paraId="2E4FDDB6" w14:textId="77777777" w:rsidR="008C1B84" w:rsidRPr="009C74CC" w:rsidRDefault="008C1B84" w:rsidP="002A6DA0">
            <w:pPr>
              <w:spacing w:before="120" w:line="240" w:lineRule="auto"/>
              <w:rPr>
                <w:rFonts w:cstheme="minorHAnsi"/>
              </w:rPr>
            </w:pPr>
            <w:r w:rsidRPr="009C74CC">
              <w:rPr>
                <w:rFonts w:cstheme="minorHAnsi"/>
              </w:rPr>
              <w:t>10,2</w:t>
            </w:r>
          </w:p>
        </w:tc>
        <w:tc>
          <w:tcPr>
            <w:tcW w:w="648" w:type="pct"/>
            <w:tcBorders>
              <w:top w:val="nil"/>
              <w:left w:val="nil"/>
              <w:bottom w:val="single" w:sz="4" w:space="0" w:color="auto"/>
              <w:right w:val="single" w:sz="4" w:space="0" w:color="auto"/>
            </w:tcBorders>
            <w:noWrap/>
            <w:vAlign w:val="center"/>
            <w:hideMark/>
          </w:tcPr>
          <w:p w14:paraId="48F96549" w14:textId="77777777" w:rsidR="008C1B84" w:rsidRPr="009C74CC" w:rsidRDefault="008C1B84" w:rsidP="002A6DA0">
            <w:pPr>
              <w:spacing w:before="120" w:line="240" w:lineRule="auto"/>
              <w:rPr>
                <w:rFonts w:cstheme="minorHAnsi"/>
              </w:rPr>
            </w:pPr>
            <w:r w:rsidRPr="009C74CC">
              <w:rPr>
                <w:rFonts w:cstheme="minorHAnsi"/>
              </w:rPr>
              <w:t>8,4</w:t>
            </w:r>
          </w:p>
        </w:tc>
        <w:tc>
          <w:tcPr>
            <w:tcW w:w="647" w:type="pct"/>
            <w:tcBorders>
              <w:top w:val="nil"/>
              <w:left w:val="nil"/>
              <w:bottom w:val="single" w:sz="4" w:space="0" w:color="auto"/>
              <w:right w:val="single" w:sz="4" w:space="0" w:color="auto"/>
            </w:tcBorders>
            <w:noWrap/>
            <w:vAlign w:val="bottom"/>
            <w:hideMark/>
          </w:tcPr>
          <w:p w14:paraId="22AF7704" w14:textId="77777777" w:rsidR="008C1B84" w:rsidRPr="009C74CC" w:rsidRDefault="008C1B84" w:rsidP="002A6DA0">
            <w:pPr>
              <w:spacing w:before="120" w:line="240" w:lineRule="auto"/>
              <w:rPr>
                <w:rFonts w:cstheme="minorHAnsi"/>
              </w:rPr>
            </w:pPr>
            <w:r w:rsidRPr="009C74CC">
              <w:rPr>
                <w:rFonts w:cstheme="minorHAnsi"/>
              </w:rPr>
              <w:t>-18,3%</w:t>
            </w:r>
          </w:p>
        </w:tc>
      </w:tr>
      <w:tr w:rsidR="008C1B84" w:rsidRPr="009C74CC" w14:paraId="0E0062D7" w14:textId="77777777" w:rsidTr="002A6DA0">
        <w:trPr>
          <w:trHeight w:val="284"/>
        </w:trPr>
        <w:tc>
          <w:tcPr>
            <w:tcW w:w="1113" w:type="pct"/>
            <w:tcBorders>
              <w:top w:val="nil"/>
              <w:left w:val="single" w:sz="8" w:space="0" w:color="auto"/>
              <w:bottom w:val="single" w:sz="8" w:space="0" w:color="auto"/>
              <w:right w:val="single" w:sz="4" w:space="0" w:color="auto"/>
            </w:tcBorders>
            <w:noWrap/>
            <w:vAlign w:val="center"/>
            <w:hideMark/>
          </w:tcPr>
          <w:p w14:paraId="795F5672" w14:textId="77777777" w:rsidR="008C1B84" w:rsidRPr="009C74CC" w:rsidRDefault="008C1B84" w:rsidP="002A6DA0">
            <w:pPr>
              <w:spacing w:before="120" w:line="240" w:lineRule="auto"/>
              <w:rPr>
                <w:rFonts w:cstheme="minorHAnsi"/>
              </w:rPr>
            </w:pPr>
            <w:r w:rsidRPr="009C74CC">
              <w:rPr>
                <w:rFonts w:cstheme="minorHAnsi"/>
              </w:rPr>
              <w:t>Всего</w:t>
            </w:r>
          </w:p>
        </w:tc>
        <w:tc>
          <w:tcPr>
            <w:tcW w:w="648" w:type="pct"/>
            <w:tcBorders>
              <w:top w:val="nil"/>
              <w:left w:val="nil"/>
              <w:bottom w:val="single" w:sz="8" w:space="0" w:color="auto"/>
              <w:right w:val="single" w:sz="4" w:space="0" w:color="auto"/>
            </w:tcBorders>
            <w:noWrap/>
            <w:vAlign w:val="center"/>
            <w:hideMark/>
          </w:tcPr>
          <w:p w14:paraId="598458A3" w14:textId="77777777" w:rsidR="008C1B84" w:rsidRPr="009C74CC" w:rsidRDefault="008C1B84" w:rsidP="002A6DA0">
            <w:pPr>
              <w:spacing w:before="120" w:line="240" w:lineRule="auto"/>
              <w:rPr>
                <w:rFonts w:cstheme="minorHAnsi"/>
              </w:rPr>
            </w:pPr>
            <w:r w:rsidRPr="009C74CC">
              <w:rPr>
                <w:rFonts w:cstheme="minorHAnsi"/>
              </w:rPr>
              <w:t>79,4</w:t>
            </w:r>
          </w:p>
        </w:tc>
        <w:tc>
          <w:tcPr>
            <w:tcW w:w="648" w:type="pct"/>
            <w:tcBorders>
              <w:top w:val="nil"/>
              <w:left w:val="nil"/>
              <w:bottom w:val="single" w:sz="8" w:space="0" w:color="auto"/>
              <w:right w:val="single" w:sz="4" w:space="0" w:color="auto"/>
            </w:tcBorders>
            <w:noWrap/>
            <w:vAlign w:val="center"/>
            <w:hideMark/>
          </w:tcPr>
          <w:p w14:paraId="45493D8E" w14:textId="77777777" w:rsidR="008C1B84" w:rsidRPr="009C74CC" w:rsidRDefault="008C1B84" w:rsidP="002A6DA0">
            <w:pPr>
              <w:spacing w:before="120" w:line="240" w:lineRule="auto"/>
              <w:rPr>
                <w:rFonts w:cstheme="minorHAnsi"/>
              </w:rPr>
            </w:pPr>
            <w:r w:rsidRPr="009C74CC">
              <w:rPr>
                <w:rFonts w:cstheme="minorHAnsi"/>
              </w:rPr>
              <w:t>82,1</w:t>
            </w:r>
          </w:p>
        </w:tc>
        <w:tc>
          <w:tcPr>
            <w:tcW w:w="648" w:type="pct"/>
            <w:tcBorders>
              <w:top w:val="nil"/>
              <w:left w:val="nil"/>
              <w:bottom w:val="single" w:sz="8" w:space="0" w:color="auto"/>
              <w:right w:val="single" w:sz="4" w:space="0" w:color="auto"/>
            </w:tcBorders>
            <w:noWrap/>
            <w:vAlign w:val="bottom"/>
            <w:hideMark/>
          </w:tcPr>
          <w:p w14:paraId="25CB5059" w14:textId="77777777" w:rsidR="008C1B84" w:rsidRPr="009C74CC" w:rsidRDefault="008C1B84" w:rsidP="002A6DA0">
            <w:pPr>
              <w:spacing w:before="120" w:line="240" w:lineRule="auto"/>
              <w:rPr>
                <w:rFonts w:cstheme="minorHAnsi"/>
                <w:b/>
              </w:rPr>
            </w:pPr>
            <w:r w:rsidRPr="009C74CC">
              <w:rPr>
                <w:rFonts w:cstheme="minorHAnsi"/>
                <w:b/>
              </w:rPr>
              <w:t>3,3%</w:t>
            </w:r>
          </w:p>
        </w:tc>
        <w:tc>
          <w:tcPr>
            <w:tcW w:w="648" w:type="pct"/>
            <w:tcBorders>
              <w:top w:val="nil"/>
              <w:left w:val="nil"/>
              <w:bottom w:val="single" w:sz="8" w:space="0" w:color="auto"/>
              <w:right w:val="single" w:sz="4" w:space="0" w:color="auto"/>
            </w:tcBorders>
            <w:noWrap/>
            <w:vAlign w:val="center"/>
            <w:hideMark/>
          </w:tcPr>
          <w:p w14:paraId="03D61F0F" w14:textId="77777777" w:rsidR="008C1B84" w:rsidRPr="009C74CC" w:rsidRDefault="008C1B84" w:rsidP="002A6DA0">
            <w:pPr>
              <w:spacing w:before="120" w:line="240" w:lineRule="auto"/>
              <w:rPr>
                <w:rFonts w:cstheme="minorHAnsi"/>
              </w:rPr>
            </w:pPr>
            <w:r w:rsidRPr="009C74CC">
              <w:rPr>
                <w:rFonts w:cstheme="minorHAnsi"/>
              </w:rPr>
              <w:t>13,6</w:t>
            </w:r>
          </w:p>
        </w:tc>
        <w:tc>
          <w:tcPr>
            <w:tcW w:w="648" w:type="pct"/>
            <w:tcBorders>
              <w:top w:val="nil"/>
              <w:left w:val="nil"/>
              <w:bottom w:val="single" w:sz="8" w:space="0" w:color="auto"/>
              <w:right w:val="single" w:sz="4" w:space="0" w:color="auto"/>
            </w:tcBorders>
            <w:noWrap/>
            <w:vAlign w:val="center"/>
            <w:hideMark/>
          </w:tcPr>
          <w:p w14:paraId="487222D1" w14:textId="77777777" w:rsidR="008C1B84" w:rsidRPr="009C74CC" w:rsidRDefault="008C1B84" w:rsidP="002A6DA0">
            <w:pPr>
              <w:spacing w:before="120" w:line="240" w:lineRule="auto"/>
              <w:rPr>
                <w:rFonts w:cstheme="minorHAnsi"/>
              </w:rPr>
            </w:pPr>
            <w:r w:rsidRPr="009C74CC">
              <w:rPr>
                <w:rFonts w:cstheme="minorHAnsi"/>
              </w:rPr>
              <w:t>12,6</w:t>
            </w:r>
          </w:p>
        </w:tc>
        <w:tc>
          <w:tcPr>
            <w:tcW w:w="647" w:type="pct"/>
            <w:tcBorders>
              <w:top w:val="nil"/>
              <w:left w:val="nil"/>
              <w:bottom w:val="single" w:sz="8" w:space="0" w:color="auto"/>
              <w:right w:val="single" w:sz="4" w:space="0" w:color="auto"/>
            </w:tcBorders>
            <w:noWrap/>
            <w:vAlign w:val="bottom"/>
            <w:hideMark/>
          </w:tcPr>
          <w:p w14:paraId="5DAE97BF" w14:textId="77777777" w:rsidR="008C1B84" w:rsidRPr="009C74CC" w:rsidRDefault="008C1B84" w:rsidP="002A6DA0">
            <w:pPr>
              <w:spacing w:before="120" w:line="240" w:lineRule="auto"/>
              <w:rPr>
                <w:rFonts w:cstheme="minorHAnsi"/>
                <w:b/>
              </w:rPr>
            </w:pPr>
            <w:r w:rsidRPr="009C74CC">
              <w:rPr>
                <w:rFonts w:cstheme="minorHAnsi"/>
                <w:b/>
              </w:rPr>
              <w:t>-7,0%</w:t>
            </w:r>
          </w:p>
        </w:tc>
      </w:tr>
    </w:tbl>
    <w:p w14:paraId="0B2E2919" w14:textId="77777777" w:rsidR="008C1B84" w:rsidRPr="008C1B84" w:rsidRDefault="008C1B84" w:rsidP="008C1B84">
      <w:pPr>
        <w:spacing w:before="120" w:after="0" w:line="240" w:lineRule="auto"/>
        <w:jc w:val="both"/>
        <w:rPr>
          <w:rFonts w:cstheme="minorHAnsi"/>
          <w:lang w:val="ru-RU"/>
        </w:rPr>
      </w:pPr>
      <w:bookmarkStart w:id="0" w:name="_GoBack"/>
      <w:bookmarkEnd w:id="0"/>
      <w:r w:rsidRPr="008C1B84">
        <w:rPr>
          <w:rFonts w:cstheme="minorHAnsi"/>
          <w:lang w:val="ru-RU"/>
        </w:rPr>
        <w:t xml:space="preserve">Источник данных: НАПИ </w:t>
      </w:r>
    </w:p>
    <w:p w14:paraId="04EB4847" w14:textId="77777777" w:rsidR="008C1B84" w:rsidRPr="008C1B84" w:rsidRDefault="008C1B84" w:rsidP="008C1B84">
      <w:pPr>
        <w:spacing w:before="120" w:after="0" w:line="240" w:lineRule="auto"/>
        <w:jc w:val="both"/>
        <w:rPr>
          <w:rFonts w:cstheme="minorHAnsi"/>
          <w:lang w:val="ru-RU"/>
        </w:rPr>
      </w:pPr>
    </w:p>
    <w:p w14:paraId="51407501" w14:textId="77777777" w:rsidR="008C1B84" w:rsidRPr="008C1B84" w:rsidRDefault="008C1B84" w:rsidP="008C1B84">
      <w:pPr>
        <w:spacing w:before="120" w:after="0" w:line="240" w:lineRule="auto"/>
        <w:jc w:val="both"/>
        <w:rPr>
          <w:rFonts w:cstheme="minorHAnsi"/>
          <w:lang w:val="ru-RU"/>
        </w:rPr>
      </w:pPr>
      <w:r w:rsidRPr="008C1B84">
        <w:rPr>
          <w:rFonts w:cstheme="minorHAnsi"/>
          <w:lang w:val="ru-RU"/>
        </w:rPr>
        <w:t xml:space="preserve">* операционный и финансовый лизинг </w:t>
      </w:r>
    </w:p>
    <w:p w14:paraId="30D57D75" w14:textId="77777777" w:rsidR="008C1B84" w:rsidRPr="008C1B84" w:rsidRDefault="008C1B84" w:rsidP="008C1B84">
      <w:pPr>
        <w:spacing w:before="120" w:after="0" w:line="240" w:lineRule="auto"/>
        <w:rPr>
          <w:rFonts w:cstheme="minorHAnsi"/>
          <w:lang w:val="ru-RU"/>
        </w:rPr>
      </w:pPr>
      <w:r w:rsidRPr="008C1B84">
        <w:rPr>
          <w:rFonts w:eastAsia="Calibri" w:cstheme="minorHAnsi"/>
          <w:bCs/>
          <w:color w:val="000000"/>
          <w:lang w:val="ru-RU"/>
        </w:rPr>
        <w:t xml:space="preserve"> </w:t>
      </w:r>
    </w:p>
    <w:sectPr w:rsidR="008C1B84" w:rsidRPr="008C1B84" w:rsidSect="00263C6D">
      <w:headerReference w:type="default" r:id="rId7"/>
      <w:footerReference w:type="default" r:id="rId8"/>
      <w:pgSz w:w="12240" w:h="15840"/>
      <w:pgMar w:top="690" w:right="474" w:bottom="1134" w:left="1701" w:header="42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D0F22" w14:textId="77777777" w:rsidR="00217A1A" w:rsidRDefault="00217A1A" w:rsidP="0071765E">
      <w:pPr>
        <w:spacing w:before="0" w:after="0" w:line="240" w:lineRule="auto"/>
      </w:pPr>
      <w:r>
        <w:separator/>
      </w:r>
    </w:p>
  </w:endnote>
  <w:endnote w:type="continuationSeparator" w:id="0">
    <w:p w14:paraId="1D7236C8" w14:textId="77777777" w:rsidR="00217A1A" w:rsidRDefault="00217A1A"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4A41C" w14:textId="3798AFE1" w:rsidR="00263C6D" w:rsidRPr="00CA4359" w:rsidRDefault="008C1B84" w:rsidP="00263C6D">
    <w:pPr>
      <w:rPr>
        <w:rFonts w:cs="Arial"/>
        <w:b/>
        <w:color w:val="808080"/>
        <w:sz w:val="16"/>
        <w:szCs w:val="16"/>
        <w:lang w:val="ru-RU"/>
      </w:rPr>
    </w:pPr>
    <w:r w:rsidRPr="008C1B84">
      <w:rPr>
        <w:rFonts w:cs="Arial"/>
        <w:b/>
        <w:color w:val="808080"/>
        <w:sz w:val="16"/>
        <w:szCs w:val="16"/>
        <w:lang w:val="ru-RU"/>
      </w:rPr>
      <w:t>Лизинг легковых автомобилей вырос на 3,3% за 7 месяцев 2026 года</w:t>
    </w:r>
    <w:r w:rsidR="00263C6D">
      <w:rPr>
        <w:noProof/>
        <w:lang w:val="ru-RU" w:eastAsia="ru-RU"/>
      </w:rPr>
      <mc:AlternateContent>
        <mc:Choice Requires="wps">
          <w:drawing>
            <wp:anchor distT="0" distB="0" distL="114300" distR="114300" simplePos="0" relativeHeight="251662336" behindDoc="0" locked="0" layoutInCell="1" allowOverlap="1" wp14:anchorId="1106B47E" wp14:editId="4946F042">
              <wp:simplePos x="0" y="0"/>
              <wp:positionH relativeFrom="margin">
                <wp:posOffset>6985</wp:posOffset>
              </wp:positionH>
              <wp:positionV relativeFrom="paragraph">
                <wp:posOffset>7620</wp:posOffset>
              </wp:positionV>
              <wp:extent cx="6372000" cy="0"/>
              <wp:effectExtent l="0" t="0" r="29210" b="190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000" cy="0"/>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FCFBCA" id="Прямая соединительная линия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6pt" to="50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" strokecolor="gray [1629]" strokeweight=".5pt">
              <v:stroke joinstyle="miter"/>
              <w10:wrap anchorx="margin"/>
            </v:line>
          </w:pict>
        </mc:Fallback>
      </mc:AlternateContent>
    </w:r>
    <w:r w:rsidR="00263C6D">
      <w:rPr>
        <w:noProof/>
        <w:lang w:val="ru-RU" w:eastAsia="ru-RU"/>
      </w:rPr>
      <mc:AlternateContent>
        <mc:Choice Requires="wps">
          <w:drawing>
            <wp:anchor distT="0" distB="0" distL="0" distR="0" simplePos="0" relativeHeight="251661312" behindDoc="0" locked="0" layoutInCell="1" allowOverlap="1" wp14:anchorId="417BED71" wp14:editId="4A50DD3E">
              <wp:simplePos x="0" y="0"/>
              <wp:positionH relativeFrom="margin">
                <wp:posOffset>5459095</wp:posOffset>
              </wp:positionH>
              <wp:positionV relativeFrom="page">
                <wp:posOffset>10045065</wp:posOffset>
              </wp:positionV>
              <wp:extent cx="337820" cy="238125"/>
              <wp:effectExtent l="0" t="0" r="5080" b="9525"/>
              <wp:wrapSquare wrapText="bothSides"/>
              <wp:docPr id="3"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238125"/>
                      </a:xfrm>
                      <a:prstGeom prst="rect">
                        <a:avLst/>
                      </a:prstGeom>
                      <a:solidFill>
                        <a:schemeClr val="bg1"/>
                      </a:solidFill>
                      <a:ln>
                        <a:noFill/>
                      </a:ln>
                    </wps:spPr>
                    <wps:txbx>
                      <w:txbxContent>
                        <w:p w14:paraId="1B448185" w14:textId="616480B6" w:rsidR="00263C6D" w:rsidRPr="00FC73A9" w:rsidRDefault="00263C6D" w:rsidP="00263C6D">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8C1B84">
                            <w:rPr>
                              <w:rFonts w:cs="Arial"/>
                              <w:b/>
                              <w:noProof/>
                              <w:color w:val="7F7F7F" w:themeColor="text1" w:themeTint="80"/>
                              <w:szCs w:val="18"/>
                            </w:rPr>
                            <w:t>1</w:t>
                          </w:r>
                          <w:r w:rsidRPr="00FC73A9">
                            <w:rPr>
                              <w:rFonts w:cs="Arial"/>
                              <w:b/>
                              <w:color w:val="7F7F7F" w:themeColor="text1" w:themeTint="80"/>
                              <w:szCs w:val="18"/>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17BED71" id="Прямоугольник 40" o:spid="_x0000_s1026" style="position:absolute;margin-left:429.85pt;margin-top:790.95pt;width:26.6pt;height:18.7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" fillcolor="white [3212]" stroked="f">
              <v:textbox>
                <w:txbxContent>
                  <w:p w14:paraId="1B448185" w14:textId="616480B6" w:rsidR="00263C6D" w:rsidRPr="00FC73A9" w:rsidRDefault="00263C6D" w:rsidP="00263C6D">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8C1B84">
                      <w:rPr>
                        <w:rFonts w:cs="Arial"/>
                        <w:b/>
                        <w:noProof/>
                        <w:color w:val="7F7F7F" w:themeColor="text1" w:themeTint="80"/>
                        <w:szCs w:val="18"/>
                      </w:rPr>
                      <w:t>1</w:t>
                    </w:r>
                    <w:r w:rsidRPr="00FC73A9">
                      <w:rPr>
                        <w:rFonts w:cs="Arial"/>
                        <w:b/>
                        <w:color w:val="7F7F7F" w:themeColor="text1" w:themeTint="80"/>
                        <w:szCs w:val="18"/>
                      </w:rPr>
                      <w:fldChar w:fldCharType="end"/>
                    </w:r>
                  </w:p>
                </w:txbxContent>
              </v:textbox>
              <w10:wrap type="square" anchorx="margin" anchory="page"/>
            </v:rect>
          </w:pict>
        </mc:Fallback>
      </mc:AlternateContent>
    </w:r>
  </w:p>
  <w:sdt>
    <w:sdtPr>
      <w:id w:val="122129308"/>
      <w:docPartObj>
        <w:docPartGallery w:val="Page Numbers (Bottom of Page)"/>
        <w:docPartUnique/>
      </w:docPartObj>
    </w:sdtPr>
    <w:sdtEndPr>
      <w:rPr>
        <w:noProof/>
      </w:rPr>
    </w:sdtEndPr>
    <w:sdtContent>
      <w:p w14:paraId="4FF889FB" w14:textId="4246950A" w:rsidR="00263C6D" w:rsidRDefault="00263C6D">
        <w:pPr>
          <w:pStyle w:val="af6"/>
          <w:jc w:val="right"/>
        </w:pPr>
        <w:r>
          <w:fldChar w:fldCharType="begin"/>
        </w:r>
        <w:r>
          <w:instrText xml:space="preserve"> PAGE   \* MERGEFORMAT </w:instrText>
        </w:r>
        <w:r>
          <w:fldChar w:fldCharType="separate"/>
        </w:r>
        <w:r w:rsidR="008C1B84">
          <w:rPr>
            <w:noProof/>
          </w:rPr>
          <w:t>1</w:t>
        </w:r>
        <w:r>
          <w:rPr>
            <w:noProof/>
          </w:rPr>
          <w:fldChar w:fldCharType="end"/>
        </w:r>
      </w:p>
    </w:sdtContent>
  </w:sdt>
  <w:p w14:paraId="0CD24AC9" w14:textId="77777777" w:rsidR="00263C6D" w:rsidRDefault="00263C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670DA" w14:textId="77777777" w:rsidR="00217A1A" w:rsidRDefault="00217A1A" w:rsidP="0071765E">
      <w:pPr>
        <w:spacing w:before="0" w:after="0" w:line="240" w:lineRule="auto"/>
      </w:pPr>
      <w:r>
        <w:separator/>
      </w:r>
    </w:p>
  </w:footnote>
  <w:footnote w:type="continuationSeparator" w:id="0">
    <w:p w14:paraId="5D999341" w14:textId="77777777" w:rsidR="00217A1A" w:rsidRDefault="00217A1A"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07C29" w14:textId="77777777" w:rsidR="0071765E" w:rsidRPr="0071765E" w:rsidRDefault="0071765E" w:rsidP="0071765E">
    <w:pPr>
      <w:ind w:left="142" w:hanging="1135"/>
      <w:rPr>
        <w:color w:val="A6A6A6"/>
        <w:lang w:val="ru-RU"/>
      </w:rPr>
    </w:pPr>
    <w:r>
      <w:rPr>
        <w:rFonts w:ascii="Arial" w:hAnsi="Arial" w:cs="Arial"/>
        <w:noProof/>
        <w:color w:val="333333"/>
        <w:lang w:val="ru-RU" w:eastAsia="ru-RU"/>
      </w:rPr>
      <mc:AlternateContent>
        <mc:Choice Requires="wps">
          <w:drawing>
            <wp:anchor distT="0" distB="0" distL="114300" distR="114300" simplePos="0" relativeHeight="251659264" behindDoc="0" locked="0" layoutInCell="1" allowOverlap="1" wp14:anchorId="1FD8CFD1" wp14:editId="5BA93507">
              <wp:simplePos x="0" y="0"/>
              <wp:positionH relativeFrom="column">
                <wp:posOffset>188595</wp:posOffset>
              </wp:positionH>
              <wp:positionV relativeFrom="paragraph">
                <wp:posOffset>586105</wp:posOffset>
              </wp:positionV>
              <wp:extent cx="619200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61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815401" id="Прямая соединительная линия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6.15pt" to="502.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" strokecolor="gray [1629]" strokeweight=".5pt"/>
          </w:pict>
        </mc:Fallback>
      </mc:AlternateContent>
    </w:r>
    <w:r>
      <w:rPr>
        <w:rFonts w:ascii="Arial" w:hAnsi="Arial" w:cs="Arial"/>
        <w:noProof/>
        <w:color w:val="333333"/>
        <w:lang w:val="ru-RU" w:eastAsia="ru-RU"/>
      </w:rPr>
      <w:drawing>
        <wp:inline distT="0" distB="0" distL="0" distR="0" wp14:anchorId="05643EEA" wp14:editId="71CE43AA">
          <wp:extent cx="695325" cy="4058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12" cy="431330"/>
                  </a:xfrm>
                  <a:prstGeom prst="rect">
                    <a:avLst/>
                  </a:prstGeom>
                  <a:noFill/>
                  <a:ln>
                    <a:noFill/>
                  </a:ln>
                </pic:spPr>
              </pic:pic>
            </a:graphicData>
          </a:graphic>
        </wp:inline>
      </w:drawing>
    </w:r>
    <w:r>
      <w:rPr>
        <w:rFonts w:ascii="Arial" w:hAnsi="Arial" w:cs="Arial"/>
        <w:color w:val="333333"/>
        <w:lang w:val="ru-RU"/>
      </w:rPr>
      <w:tab/>
    </w:r>
    <w:r>
      <w:rPr>
        <w:rFonts w:ascii="Arial" w:hAnsi="Arial" w:cs="Arial"/>
        <w:color w:val="333333"/>
        <w:lang w:val="ru-RU"/>
      </w:rPr>
      <w:tab/>
    </w:r>
    <w:r w:rsidRPr="00A61EB0">
      <w:rPr>
        <w:rFonts w:ascii="Arial" w:hAnsi="Arial" w:cs="Arial"/>
        <w:sz w:val="16"/>
        <w:szCs w:val="16"/>
        <w:lang w:val="ru-RU"/>
      </w:rPr>
      <w:t>НАПИ (Национальное Агентство Промышленной Информации)</w:t>
    </w:r>
    <w:r>
      <w:rPr>
        <w:rFonts w:ascii="Arial" w:hAnsi="Arial" w:cs="Arial"/>
        <w:color w:val="333333"/>
        <w:sz w:val="16"/>
        <w:szCs w:val="16"/>
        <w:lang w:val="ru-RU"/>
      </w:rPr>
      <w:tab/>
    </w:r>
    <w:r>
      <w:rPr>
        <w:rFonts w:ascii="Arial" w:hAnsi="Arial" w:cs="Arial"/>
        <w:color w:val="333333"/>
        <w:sz w:val="16"/>
        <w:szCs w:val="16"/>
        <w:lang w:val="ru-RU"/>
      </w:rPr>
      <w:tab/>
    </w:r>
    <w:r>
      <w:rPr>
        <w:rFonts w:ascii="Arial" w:hAnsi="Arial" w:cs="Arial"/>
        <w:color w:val="333333"/>
        <w:sz w:val="16"/>
        <w:szCs w:val="16"/>
        <w:lang w:val="ru-RU"/>
      </w:rPr>
      <w:tab/>
    </w:r>
    <w:r>
      <w:rPr>
        <w:rFonts w:ascii="Arial" w:hAnsi="Arial" w:cs="Arial"/>
        <w:color w:val="333333"/>
        <w:sz w:val="16"/>
        <w:szCs w:val="16"/>
        <w:lang w:val="ru-RU"/>
      </w:rPr>
      <w:tab/>
    </w:r>
    <w:r>
      <w:rPr>
        <w:rFonts w:ascii="Arial" w:hAnsi="Arial" w:cs="Arial"/>
        <w:color w:val="333333"/>
        <w:sz w:val="16"/>
        <w:szCs w:val="16"/>
        <w:lang w:val="ru-RU"/>
      </w:rPr>
      <w:tab/>
    </w:r>
    <w:r w:rsidRPr="00A61EB0">
      <w:rPr>
        <w:rFonts w:ascii="Arial" w:hAnsi="Arial" w:cs="Arial"/>
        <w:color w:val="0070C0"/>
        <w:sz w:val="16"/>
        <w:szCs w:val="16"/>
        <w:lang w:val="ru-RU"/>
      </w:rPr>
      <w:t>https://napinfo.ru/</w:t>
    </w:r>
    <w:r w:rsidRPr="00A61EB0">
      <w:rPr>
        <w:rFonts w:ascii="Arial" w:hAnsi="Arial" w:cs="Arial"/>
        <w:color w:val="0070C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B34530"/>
    <w:multiLevelType w:val="hybridMultilevel"/>
    <w:tmpl w:val="F5683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B403B1D"/>
    <w:multiLevelType w:val="hybridMultilevel"/>
    <w:tmpl w:val="27624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96C"/>
    <w:rsid w:val="00015D56"/>
    <w:rsid w:val="0002508F"/>
    <w:rsid w:val="00045CCD"/>
    <w:rsid w:val="00051EEC"/>
    <w:rsid w:val="000A2A56"/>
    <w:rsid w:val="000B5141"/>
    <w:rsid w:val="000C7F97"/>
    <w:rsid w:val="000F16D0"/>
    <w:rsid w:val="00127EA4"/>
    <w:rsid w:val="0015192A"/>
    <w:rsid w:val="0018521E"/>
    <w:rsid w:val="001A7D47"/>
    <w:rsid w:val="001B2EE2"/>
    <w:rsid w:val="001D0F9E"/>
    <w:rsid w:val="0020047D"/>
    <w:rsid w:val="00217A1A"/>
    <w:rsid w:val="00230525"/>
    <w:rsid w:val="00240A61"/>
    <w:rsid w:val="00244D7E"/>
    <w:rsid w:val="00250A52"/>
    <w:rsid w:val="00263C6D"/>
    <w:rsid w:val="002C06E7"/>
    <w:rsid w:val="00300B3E"/>
    <w:rsid w:val="00313776"/>
    <w:rsid w:val="00327B67"/>
    <w:rsid w:val="00364802"/>
    <w:rsid w:val="00374AD2"/>
    <w:rsid w:val="00397E28"/>
    <w:rsid w:val="003E33DD"/>
    <w:rsid w:val="004602A4"/>
    <w:rsid w:val="004672D1"/>
    <w:rsid w:val="00470E98"/>
    <w:rsid w:val="004A66F2"/>
    <w:rsid w:val="004A789A"/>
    <w:rsid w:val="004C58FD"/>
    <w:rsid w:val="004D0465"/>
    <w:rsid w:val="004D1BE8"/>
    <w:rsid w:val="005146F4"/>
    <w:rsid w:val="005770D4"/>
    <w:rsid w:val="005A2AFF"/>
    <w:rsid w:val="005B2D7B"/>
    <w:rsid w:val="005D79A2"/>
    <w:rsid w:val="005E0373"/>
    <w:rsid w:val="00604943"/>
    <w:rsid w:val="006056FD"/>
    <w:rsid w:val="0062165C"/>
    <w:rsid w:val="00624528"/>
    <w:rsid w:val="00627167"/>
    <w:rsid w:val="00670AE9"/>
    <w:rsid w:val="006A36FA"/>
    <w:rsid w:val="006C32C7"/>
    <w:rsid w:val="00704AEC"/>
    <w:rsid w:val="0071765E"/>
    <w:rsid w:val="007566CD"/>
    <w:rsid w:val="007632BE"/>
    <w:rsid w:val="007D2BDE"/>
    <w:rsid w:val="007D2D5C"/>
    <w:rsid w:val="008025EF"/>
    <w:rsid w:val="008B4555"/>
    <w:rsid w:val="008C1B84"/>
    <w:rsid w:val="008C48D8"/>
    <w:rsid w:val="008F5EF2"/>
    <w:rsid w:val="00941231"/>
    <w:rsid w:val="00962C10"/>
    <w:rsid w:val="0096396C"/>
    <w:rsid w:val="009C50C8"/>
    <w:rsid w:val="009D15BE"/>
    <w:rsid w:val="009E27E1"/>
    <w:rsid w:val="009E5165"/>
    <w:rsid w:val="00A01B24"/>
    <w:rsid w:val="00A20D7D"/>
    <w:rsid w:val="00A37270"/>
    <w:rsid w:val="00A44E87"/>
    <w:rsid w:val="00A567B0"/>
    <w:rsid w:val="00A61EB0"/>
    <w:rsid w:val="00AB3718"/>
    <w:rsid w:val="00AD063B"/>
    <w:rsid w:val="00AE488B"/>
    <w:rsid w:val="00B13CAC"/>
    <w:rsid w:val="00B84A3E"/>
    <w:rsid w:val="00B93F87"/>
    <w:rsid w:val="00B95C4A"/>
    <w:rsid w:val="00BB6F46"/>
    <w:rsid w:val="00BC72F0"/>
    <w:rsid w:val="00BD6DB4"/>
    <w:rsid w:val="00BE48EF"/>
    <w:rsid w:val="00C00935"/>
    <w:rsid w:val="00C0783A"/>
    <w:rsid w:val="00CA4359"/>
    <w:rsid w:val="00CE3A2B"/>
    <w:rsid w:val="00CE52D8"/>
    <w:rsid w:val="00D21BFF"/>
    <w:rsid w:val="00D24EFA"/>
    <w:rsid w:val="00D61A88"/>
    <w:rsid w:val="00D732C0"/>
    <w:rsid w:val="00D82FB5"/>
    <w:rsid w:val="00DE364A"/>
    <w:rsid w:val="00E17CAB"/>
    <w:rsid w:val="00E2772D"/>
    <w:rsid w:val="00E36298"/>
    <w:rsid w:val="00E70CCD"/>
    <w:rsid w:val="00E77160"/>
    <w:rsid w:val="00E82680"/>
    <w:rsid w:val="00E9690D"/>
    <w:rsid w:val="00EE36D4"/>
    <w:rsid w:val="00F15194"/>
    <w:rsid w:val="00F27F07"/>
    <w:rsid w:val="00F42B9F"/>
    <w:rsid w:val="00F55FD8"/>
    <w:rsid w:val="00F95F1C"/>
    <w:rsid w:val="00F96235"/>
    <w:rsid w:val="00FC5835"/>
    <w:rsid w:val="00FD12E0"/>
    <w:rsid w:val="00FE3D77"/>
    <w:rsid w:val="00FE43CE"/>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5450E1"/>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782"/>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uiPriority w:val="9"/>
    <w:semiHidden/>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themeColor="accent1" w:themeShade="BF"/>
      <w:sz w:val="16"/>
      <w:szCs w:val="16"/>
    </w:rPr>
  </w:style>
  <w:style w:type="paragraph" w:styleId="a4">
    <w:name w:val="Title"/>
    <w:basedOn w:val="a"/>
    <w:next w:val="a"/>
    <w:link w:val="a5"/>
    <w:uiPriority w:val="10"/>
    <w:qFormat/>
    <w:rsid w:val="00FF7782"/>
    <w:pPr>
      <w:spacing w:before="0"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basedOn w:val="a0"/>
    <w:uiPriority w:val="99"/>
    <w:unhideWhenUsed/>
    <w:rsid w:val="0071765E"/>
    <w:rPr>
      <w:color w:val="6B9F25" w:themeColor="hyperlink"/>
      <w:u w:val="single"/>
    </w:rPr>
  </w:style>
  <w:style w:type="paragraph" w:customStyle="1" w:styleId="wordsection1">
    <w:name w:val="wordsection1"/>
    <w:basedOn w:val="a"/>
    <w:uiPriority w:val="99"/>
    <w:rsid w:val="007566CD"/>
    <w:pPr>
      <w:spacing w:beforeAutospacing="1" w:after="100" w:afterAutospacing="1" w:line="240" w:lineRule="auto"/>
    </w:pPr>
    <w:rPr>
      <w:rFonts w:ascii="Times New Roman" w:hAnsi="Times New Roman" w:cs="Times New Roman"/>
      <w:sz w:val="24"/>
      <w:szCs w:val="24"/>
      <w:lang w:val="ru-RU" w:eastAsia="ru-RU"/>
    </w:rPr>
  </w:style>
  <w:style w:type="table" w:styleId="-7">
    <w:name w:val="Grid Table 7 Colorful"/>
    <w:basedOn w:val="a1"/>
    <w:uiPriority w:val="52"/>
    <w:rsid w:val="001B2EE2"/>
    <w:pPr>
      <w:spacing w:before="0" w:after="0" w:line="240" w:lineRule="auto"/>
    </w:pPr>
    <w:rPr>
      <w:color w:val="000000" w:themeColor="text1"/>
      <w:sz w:val="22"/>
      <w:szCs w:val="22"/>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af9">
    <w:name w:val="Normal (Web)"/>
    <w:basedOn w:val="a"/>
    <w:uiPriority w:val="99"/>
    <w:unhideWhenUsed/>
    <w:rsid w:val="00244D7E"/>
    <w:pPr>
      <w:spacing w:beforeAutospacing="1" w:after="100" w:afterAutospacing="1" w:line="240" w:lineRule="auto"/>
    </w:pPr>
    <w:rPr>
      <w:rFonts w:ascii="Times New Roman" w:eastAsiaTheme="minorEastAsia"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28968">
      <w:bodyDiv w:val="1"/>
      <w:marLeft w:val="0"/>
      <w:marRight w:val="0"/>
      <w:marTop w:val="0"/>
      <w:marBottom w:val="0"/>
      <w:divBdr>
        <w:top w:val="none" w:sz="0" w:space="0" w:color="auto"/>
        <w:left w:val="none" w:sz="0" w:space="0" w:color="auto"/>
        <w:bottom w:val="none" w:sz="0" w:space="0" w:color="auto"/>
        <w:right w:val="none" w:sz="0" w:space="0" w:color="auto"/>
      </w:divBdr>
    </w:div>
    <w:div w:id="129904926">
      <w:bodyDiv w:val="1"/>
      <w:marLeft w:val="0"/>
      <w:marRight w:val="0"/>
      <w:marTop w:val="0"/>
      <w:marBottom w:val="0"/>
      <w:divBdr>
        <w:top w:val="none" w:sz="0" w:space="0" w:color="auto"/>
        <w:left w:val="none" w:sz="0" w:space="0" w:color="auto"/>
        <w:bottom w:val="none" w:sz="0" w:space="0" w:color="auto"/>
        <w:right w:val="none" w:sz="0" w:space="0" w:color="auto"/>
      </w:divBdr>
    </w:div>
    <w:div w:id="20035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PR</cp:lastModifiedBy>
  <cp:revision>2</cp:revision>
  <dcterms:created xsi:type="dcterms:W3CDTF">2026-09-03T05:59:00Z</dcterms:created>
  <dcterms:modified xsi:type="dcterms:W3CDTF">2026-09-03T05:59:00Z</dcterms:modified>
</cp:coreProperties>
</file>