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9033" w14:textId="44E75590" w:rsidR="00901B4F" w:rsidRPr="00DB2474" w:rsidRDefault="00901B4F" w:rsidP="00565E9B">
      <w:pPr>
        <w:spacing w:before="360" w:after="360"/>
        <w:jc w:val="center"/>
        <w:rPr>
          <w:rFonts w:ascii="Calibri" w:hAnsi="Calibri" w:cs="Calibri"/>
          <w:b/>
          <w:sz w:val="28"/>
          <w:szCs w:val="28"/>
          <w:lang w:val="ru-RU"/>
        </w:rPr>
      </w:pPr>
      <w:r w:rsidRPr="00DB2474">
        <w:rPr>
          <w:rFonts w:ascii="Calibri" w:hAnsi="Calibri" w:cs="Calibri"/>
          <w:b/>
          <w:sz w:val="28"/>
          <w:szCs w:val="28"/>
          <w:lang w:val="ru-RU"/>
        </w:rPr>
        <w:t>Какие сегменты выросли на падающем рынке легковых авто</w:t>
      </w:r>
    </w:p>
    <w:p w14:paraId="164A13AE" w14:textId="359306C5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 xml:space="preserve">Маркетинговое агентство </w:t>
      </w:r>
      <w:hyperlink r:id="rId7" w:history="1">
        <w:r w:rsidRPr="00DB2474">
          <w:rPr>
            <w:rStyle w:val="af8"/>
            <w:rFonts w:ascii="Calibri" w:hAnsi="Calibri" w:cs="Calibri"/>
            <w:sz w:val="22"/>
            <w:szCs w:val="22"/>
            <w:lang w:val="ru-RU"/>
          </w:rPr>
          <w:t>НАПИ</w:t>
        </w:r>
      </w:hyperlink>
      <w:r w:rsidRPr="00DB2474">
        <w:rPr>
          <w:rFonts w:ascii="Calibri" w:hAnsi="Calibri" w:cs="Calibri"/>
          <w:sz w:val="22"/>
          <w:szCs w:val="22"/>
          <w:lang w:val="ru-RU"/>
        </w:rPr>
        <w:t xml:space="preserve"> проанализировало продажи новых легковых автомобилей российских и иностранных брендов в 2025 году.</w:t>
      </w:r>
    </w:p>
    <w:p w14:paraId="32E1BE2C" w14:textId="77777777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>За 12 месяцев было продано 610,6 тыс. ед. легковых автомобилей иностранных импортируемых брендов, что на 31,2% меньше, чем за аналогичный период 2024 года. Продажи автомобилей традиционных российских брендов сократились на 24,5% и составили 334,9 тыс. ед. Также в 2025 году было продано 258,6 тыс. ед. автомобилей иностранных брендов, произведенных в России, продажи выросли на 70,2%. Еще 101,7 тыс. ед. реализованных автомобилей были новыми российскими брендами, они показали рост продаж на 122,5%.</w:t>
      </w:r>
    </w:p>
    <w:p w14:paraId="19496E29" w14:textId="7DDF5DC8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 xml:space="preserve">Наибольший объем продаж автомобилей традиционных российских брендов пришелся на марку </w:t>
      </w:r>
      <w:r w:rsidRPr="00DB2474">
        <w:rPr>
          <w:rFonts w:ascii="Calibri" w:hAnsi="Calibri" w:cs="Calibri"/>
          <w:sz w:val="22"/>
          <w:szCs w:val="22"/>
        </w:rPr>
        <w:t>LADA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(328,4 тыс. ед.). Среди новых российских брендов больше всего было продано автомобилей марки </w:t>
      </w:r>
      <w:r w:rsidRPr="00DB2474">
        <w:rPr>
          <w:rFonts w:ascii="Calibri" w:hAnsi="Calibri" w:cs="Calibri"/>
          <w:sz w:val="22"/>
          <w:szCs w:val="22"/>
        </w:rPr>
        <w:t>SOLARIS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(34,5 тыс. ед.). Из иностранных брендов, произведенных на территории страны, большие всего было продано автомобилей марки </w:t>
      </w:r>
      <w:r w:rsidRPr="00DB2474">
        <w:rPr>
          <w:rFonts w:ascii="Calibri" w:hAnsi="Calibri" w:cs="Calibri"/>
          <w:sz w:val="22"/>
          <w:szCs w:val="22"/>
        </w:rPr>
        <w:t>HAVAL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(144,1 тыс. ед. </w:t>
      </w:r>
      <w:r w:rsidR="0097322F" w:rsidRPr="00DB2474">
        <w:rPr>
          <w:rFonts w:ascii="Calibri" w:hAnsi="Calibri" w:cs="Calibri"/>
          <w:sz w:val="22"/>
          <w:szCs w:val="22"/>
          <w:lang w:val="ru-RU"/>
        </w:rPr>
        <w:t xml:space="preserve"> - только </w:t>
      </w:r>
      <w:r w:rsidR="0097322F" w:rsidRPr="00DB2474">
        <w:rPr>
          <w:rFonts w:ascii="Calibri" w:hAnsi="Calibri" w:cs="Calibri"/>
          <w:sz w:val="22"/>
          <w:szCs w:val="22"/>
        </w:rPr>
        <w:t>HAVAL</w:t>
      </w:r>
      <w:r w:rsidR="0097322F" w:rsidRPr="00DB2474">
        <w:rPr>
          <w:rFonts w:ascii="Calibri" w:hAnsi="Calibri" w:cs="Calibri"/>
          <w:sz w:val="22"/>
          <w:szCs w:val="22"/>
          <w:lang w:val="ru-RU"/>
        </w:rPr>
        <w:t xml:space="preserve">, произведенные в РФ). 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Самыми продаваемыми автомобилями иностранных </w:t>
      </w:r>
      <w:r w:rsidR="007F654F" w:rsidRPr="00DB2474">
        <w:rPr>
          <w:rFonts w:ascii="Calibri" w:hAnsi="Calibri" w:cs="Calibri"/>
          <w:sz w:val="22"/>
          <w:szCs w:val="22"/>
          <w:lang w:val="ru-RU"/>
        </w:rPr>
        <w:t>поставляемых в страну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брендов стали </w:t>
      </w:r>
      <w:r w:rsidRPr="00DB2474">
        <w:rPr>
          <w:rFonts w:ascii="Calibri" w:hAnsi="Calibri" w:cs="Calibri"/>
          <w:sz w:val="22"/>
          <w:szCs w:val="22"/>
        </w:rPr>
        <w:t>GEELY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(94,9 тыс. ед.), </w:t>
      </w:r>
      <w:r w:rsidRPr="00DB2474">
        <w:rPr>
          <w:rFonts w:ascii="Calibri" w:hAnsi="Calibri" w:cs="Calibri"/>
          <w:sz w:val="22"/>
          <w:szCs w:val="22"/>
        </w:rPr>
        <w:t>BELGEE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(68,1 тыс. ед.) и </w:t>
      </w:r>
      <w:r w:rsidRPr="00DB2474">
        <w:rPr>
          <w:rFonts w:ascii="Calibri" w:hAnsi="Calibri" w:cs="Calibri"/>
          <w:sz w:val="22"/>
          <w:szCs w:val="22"/>
        </w:rPr>
        <w:t>CHANGAN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(63,8 тыс. ед.).</w:t>
      </w:r>
    </w:p>
    <w:p w14:paraId="3113DC02" w14:textId="5C026608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>Доля автомобилей иностранных брендов</w:t>
      </w:r>
      <w:r w:rsidR="00EA378E" w:rsidRPr="00DB2474">
        <w:rPr>
          <w:rFonts w:ascii="Calibri" w:hAnsi="Calibri" w:cs="Calibri"/>
          <w:sz w:val="22"/>
          <w:szCs w:val="22"/>
          <w:lang w:val="ru-RU"/>
        </w:rPr>
        <w:t>, ввозимых в страну,</w:t>
      </w:r>
      <w:r w:rsidRPr="00DB2474">
        <w:rPr>
          <w:rFonts w:ascii="Calibri" w:hAnsi="Calibri" w:cs="Calibri"/>
          <w:sz w:val="22"/>
          <w:szCs w:val="22"/>
          <w:lang w:val="ru-RU"/>
        </w:rPr>
        <w:t xml:space="preserve"> в общем объеме</w:t>
      </w:r>
      <w:hyperlink r:id="rId8" w:history="1">
        <w:r w:rsidRPr="00DB2474">
          <w:rPr>
            <w:rStyle w:val="af8"/>
            <w:rFonts w:ascii="Calibri" w:hAnsi="Calibri" w:cs="Calibri"/>
            <w:sz w:val="22"/>
            <w:szCs w:val="22"/>
            <w:lang w:val="ru-RU"/>
          </w:rPr>
          <w:t xml:space="preserve"> продаж легковушек</w:t>
        </w:r>
      </w:hyperlink>
      <w:r w:rsidRPr="00DB2474">
        <w:rPr>
          <w:rFonts w:ascii="Calibri" w:hAnsi="Calibri" w:cs="Calibri"/>
          <w:sz w:val="22"/>
          <w:szCs w:val="22"/>
          <w:lang w:val="ru-RU"/>
        </w:rPr>
        <w:t xml:space="preserve"> в 2025 году составила 46,8%. По сравнению с 2024 годом она сократилась на 11,3 </w:t>
      </w:r>
      <w:proofErr w:type="spellStart"/>
      <w:r w:rsidRPr="00DB2474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DB2474">
        <w:rPr>
          <w:rFonts w:ascii="Calibri" w:hAnsi="Calibri" w:cs="Calibri"/>
          <w:sz w:val="22"/>
          <w:szCs w:val="22"/>
          <w:lang w:val="ru-RU"/>
        </w:rPr>
        <w:t xml:space="preserve">. На 3,4 </w:t>
      </w:r>
      <w:proofErr w:type="spellStart"/>
      <w:r w:rsidRPr="00DB2474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DB2474">
        <w:rPr>
          <w:rFonts w:ascii="Calibri" w:hAnsi="Calibri" w:cs="Calibri"/>
          <w:sz w:val="22"/>
          <w:szCs w:val="22"/>
          <w:lang w:val="ru-RU"/>
        </w:rPr>
        <w:t xml:space="preserve">. сократилась и доля легковых автомобилей российских традиционных брендов, к концу года составив 25,6%.  </w:t>
      </w:r>
    </w:p>
    <w:p w14:paraId="61EC0CA5" w14:textId="7FDCE07D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 xml:space="preserve">На фоне общего падения рынка выросли два сегмента. На долю иномарок российского производства в прошлом году приходилось 19,8%, что в два раза больше, чем годом ранее. Выросла и доля автомобилей новых российских брендов, она прибавила 4,8 </w:t>
      </w:r>
      <w:proofErr w:type="spellStart"/>
      <w:r w:rsidRPr="00DB2474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DB2474">
        <w:rPr>
          <w:rFonts w:ascii="Calibri" w:hAnsi="Calibri" w:cs="Calibri"/>
          <w:sz w:val="22"/>
          <w:szCs w:val="22"/>
          <w:lang w:val="ru-RU"/>
        </w:rPr>
        <w:t>. и достигла 7,8%.</w:t>
      </w:r>
    </w:p>
    <w:p w14:paraId="37AE0091" w14:textId="3538A2D8" w:rsidR="00B84A3E" w:rsidRPr="00DB2474" w:rsidRDefault="00B84A3E" w:rsidP="00BC7026">
      <w:pPr>
        <w:spacing w:after="240" w:line="360" w:lineRule="auto"/>
        <w:rPr>
          <w:rFonts w:ascii="Calibri" w:hAnsi="Calibri" w:cs="Calibri"/>
          <w:sz w:val="22"/>
          <w:szCs w:val="22"/>
          <w:lang w:val="ru-RU"/>
        </w:rPr>
      </w:pPr>
      <w:r w:rsidRPr="00DB2474">
        <w:rPr>
          <w:rFonts w:ascii="Calibri" w:hAnsi="Calibri" w:cs="Calibri"/>
          <w:sz w:val="22"/>
          <w:szCs w:val="22"/>
          <w:lang w:val="ru-RU"/>
        </w:rPr>
        <w:t xml:space="preserve">Стоит отметить, что общая доля автомобилей новых и традиционных российских брендов и иномарок, производимых на территории страны, за год выросла на 11,3 </w:t>
      </w:r>
      <w:proofErr w:type="spellStart"/>
      <w:r w:rsidRPr="00DB2474">
        <w:rPr>
          <w:rFonts w:ascii="Calibri" w:hAnsi="Calibri" w:cs="Calibri"/>
          <w:sz w:val="22"/>
          <w:szCs w:val="22"/>
          <w:lang w:val="ru-RU"/>
        </w:rPr>
        <w:t>п.п</w:t>
      </w:r>
      <w:proofErr w:type="spellEnd"/>
      <w:r w:rsidRPr="00DB2474">
        <w:rPr>
          <w:rFonts w:ascii="Calibri" w:hAnsi="Calibri" w:cs="Calibri"/>
          <w:sz w:val="22"/>
          <w:szCs w:val="22"/>
          <w:lang w:val="ru-RU"/>
        </w:rPr>
        <w:t xml:space="preserve">. и составила более половины от всех продаж легковушек – 53,2%.  </w:t>
      </w:r>
    </w:p>
    <w:p w14:paraId="73E90A42" w14:textId="69D81233" w:rsidR="00565E9B" w:rsidRDefault="00565E9B" w:rsidP="00565E9B">
      <w:pPr>
        <w:pStyle w:val="af9"/>
        <w:spacing w:before="0" w:beforeAutospacing="0" w:after="0" w:afterAutospacing="0"/>
        <w:rPr>
          <w:rFonts w:ascii="Calibri Light" w:eastAsia="+mn-ea" w:hAnsi="Calibri Light" w:cs="+mn-cs"/>
          <w:b/>
          <w:bCs/>
          <w:color w:val="000000"/>
          <w:kern w:val="24"/>
        </w:rPr>
      </w:pPr>
    </w:p>
    <w:p w14:paraId="213F303B" w14:textId="102A0B06" w:rsidR="00BC7026" w:rsidRDefault="00BC7026" w:rsidP="00565E9B">
      <w:pPr>
        <w:pStyle w:val="af9"/>
        <w:spacing w:before="0" w:beforeAutospacing="0" w:after="0" w:afterAutospacing="0"/>
        <w:rPr>
          <w:rFonts w:ascii="Calibri Light" w:eastAsia="+mn-ea" w:hAnsi="Calibri Light" w:cs="+mn-cs"/>
          <w:b/>
          <w:bCs/>
          <w:color w:val="000000"/>
          <w:kern w:val="24"/>
        </w:rPr>
      </w:pPr>
    </w:p>
    <w:p w14:paraId="095BFDA2" w14:textId="4492290C" w:rsidR="00565E9B" w:rsidRDefault="00BC7026" w:rsidP="00BC7026">
      <w:pPr>
        <w:spacing w:before="600" w:after="0"/>
        <w:jc w:val="center"/>
        <w:rPr>
          <w:rFonts w:asciiTheme="majorHAnsi" w:hAnsiTheme="majorHAnsi" w:cstheme="majorHAnsi"/>
          <w:sz w:val="22"/>
          <w:szCs w:val="22"/>
          <w:lang w:val="ru-RU"/>
        </w:rPr>
      </w:pPr>
      <w:r>
        <w:rPr>
          <w:rFonts w:asciiTheme="majorHAnsi" w:hAnsiTheme="majorHAnsi" w:cstheme="majorHAnsi"/>
          <w:noProof/>
          <w:sz w:val="22"/>
          <w:szCs w:val="22"/>
          <w:lang w:val="ru-RU"/>
        </w:rPr>
        <w:lastRenderedPageBreak/>
        <w:drawing>
          <wp:inline distT="0" distB="0" distL="0" distR="0" wp14:anchorId="2749EBCC" wp14:editId="48D8E9E7">
            <wp:extent cx="3857625" cy="5343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49EB" w14:textId="77777777" w:rsidR="00565E9B" w:rsidRPr="00B84A3E" w:rsidRDefault="00565E9B" w:rsidP="0020047D">
      <w:pPr>
        <w:spacing w:after="0"/>
        <w:rPr>
          <w:rFonts w:asciiTheme="majorHAnsi" w:hAnsiTheme="majorHAnsi" w:cstheme="majorHAnsi"/>
          <w:sz w:val="22"/>
          <w:szCs w:val="22"/>
          <w:lang w:val="ru-RU"/>
        </w:rPr>
      </w:pPr>
    </w:p>
    <w:p w14:paraId="62267821" w14:textId="77777777" w:rsidR="00244D7E" w:rsidRDefault="00244D7E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color w:val="000000" w:themeColor="text1"/>
          <w:sz w:val="18"/>
          <w:szCs w:val="18"/>
        </w:rPr>
      </w:pPr>
    </w:p>
    <w:p w14:paraId="21AC06CC" w14:textId="70D2CD9A" w:rsidR="007566CD" w:rsidRPr="001B2EE2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5F8D9573" w14:textId="77777777" w:rsidR="007566CD" w:rsidRDefault="008B31F6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hyperlink r:id="rId10" w:history="1">
        <w:r w:rsidR="007566CD">
          <w:rPr>
            <w:rStyle w:val="af8"/>
            <w:rFonts w:ascii="Calibri" w:hAnsi="Calibri" w:cs="Calibri"/>
            <w:sz w:val="18"/>
            <w:szCs w:val="18"/>
          </w:rPr>
          <w:t>www.napinfo.ru</w:t>
        </w:r>
      </w:hyperlink>
      <w:r w:rsidR="007566CD">
        <w:rPr>
          <w:rStyle w:val="af8"/>
          <w:rFonts w:ascii="Calibri" w:hAnsi="Calibri" w:cs="Calibri"/>
          <w:sz w:val="18"/>
          <w:szCs w:val="18"/>
        </w:rPr>
        <w:t xml:space="preserve"> </w:t>
      </w:r>
      <w:r w:rsidR="007566CD">
        <w:rPr>
          <w:rFonts w:ascii="Calibri" w:hAnsi="Calibri" w:cs="Calibri"/>
          <w:sz w:val="18"/>
          <w:szCs w:val="18"/>
        </w:rPr>
        <w:t> </w:t>
      </w:r>
    </w:p>
    <w:p w14:paraId="55AB58B5" w14:textId="77777777" w:rsidR="007566CD" w:rsidRDefault="008B31F6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hyperlink r:id="rId11" w:history="1">
        <w:r w:rsidR="007566CD">
          <w:rPr>
            <w:rStyle w:val="af8"/>
            <w:rFonts w:ascii="Calibri" w:hAnsi="Calibri" w:cs="Calibri"/>
            <w:sz w:val="18"/>
            <w:szCs w:val="18"/>
          </w:rPr>
          <w:t>https://leasingstat.ru/</w:t>
        </w:r>
      </w:hyperlink>
      <w:r w:rsidR="007566CD">
        <w:rPr>
          <w:rFonts w:ascii="Calibri" w:hAnsi="Calibri" w:cs="Calibri"/>
          <w:sz w:val="18"/>
          <w:szCs w:val="18"/>
        </w:rPr>
        <w:t xml:space="preserve">       </w:t>
      </w:r>
    </w:p>
    <w:p w14:paraId="2977023B" w14:textId="56DA3557" w:rsidR="007566CD" w:rsidRDefault="008B31F6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hyperlink r:id="rId12" w:history="1"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www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dv</w:t>
        </w:r>
        <w:r w:rsidR="007566CD">
          <w:rPr>
            <w:rStyle w:val="af8"/>
            <w:rFonts w:ascii="Calibri" w:hAnsi="Calibri" w:cs="Calibri"/>
            <w:sz w:val="18"/>
            <w:szCs w:val="18"/>
          </w:rPr>
          <w:t>-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tco</w:t>
        </w:r>
        <w:proofErr w:type="spellEnd"/>
        <w:r w:rsidR="007566CD">
          <w:rPr>
            <w:rStyle w:val="af8"/>
            <w:rFonts w:ascii="Calibri" w:hAnsi="Calibri" w:cs="Calibri"/>
            <w:sz w:val="18"/>
            <w:szCs w:val="18"/>
          </w:rPr>
          <w:t>.</w:t>
        </w:r>
        <w:proofErr w:type="spellStart"/>
        <w:r w:rsidR="007566CD">
          <w:rPr>
            <w:rStyle w:val="af8"/>
            <w:rFonts w:ascii="Calibri" w:hAnsi="Calibri" w:cs="Calibri"/>
            <w:sz w:val="18"/>
            <w:szCs w:val="18"/>
            <w:lang w:val="en-US"/>
          </w:rPr>
          <w:t>ru</w:t>
        </w:r>
        <w:proofErr w:type="spellEnd"/>
      </w:hyperlink>
      <w:r w:rsidR="007566CD" w:rsidRPr="007566CD">
        <w:rPr>
          <w:rFonts w:ascii="Calibri" w:hAnsi="Calibri" w:cs="Calibri"/>
          <w:sz w:val="18"/>
          <w:szCs w:val="18"/>
        </w:rPr>
        <w:t xml:space="preserve"> </w:t>
      </w:r>
    </w:p>
    <w:p w14:paraId="0C3D25DF" w14:textId="77777777" w:rsidR="001B2EE2" w:rsidRDefault="001B2EE2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</w:p>
    <w:p w14:paraId="559D492E" w14:textId="7BF7815C" w:rsidR="007566CD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Наш канал</w:t>
      </w:r>
      <w:r w:rsidR="007566CD">
        <w:rPr>
          <w:rFonts w:ascii="Calibri" w:hAnsi="Calibri" w:cs="Calibri"/>
          <w:sz w:val="18"/>
          <w:szCs w:val="18"/>
        </w:rPr>
        <w:t xml:space="preserve"> в TELEGRAM:</w:t>
      </w:r>
    </w:p>
    <w:p w14:paraId="0E0D48F3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 xml:space="preserve">НАПИ. Автомобильный рынок </w:t>
      </w:r>
      <w:hyperlink r:id="rId13" w:history="1">
        <w:r>
          <w:rPr>
            <w:rStyle w:val="af8"/>
            <w:rFonts w:ascii="Calibri" w:hAnsi="Calibri" w:cs="Calibri"/>
            <w:sz w:val="18"/>
            <w:szCs w:val="18"/>
          </w:rPr>
          <w:t>https://t.me/napinfo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14:paraId="5841417B" w14:textId="77777777" w:rsidR="00B84A3E" w:rsidRDefault="00B84A3E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</w:p>
    <w:p w14:paraId="66374DAD" w14:textId="77777777" w:rsidR="00B84A3E" w:rsidRDefault="00B84A3E" w:rsidP="00B84A3E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Наш канал в </w:t>
      </w:r>
      <w:r>
        <w:rPr>
          <w:rFonts w:ascii="Calibri" w:hAnsi="Calibri" w:cs="Calibri"/>
          <w:sz w:val="18"/>
          <w:szCs w:val="18"/>
          <w:lang w:val="en-US"/>
        </w:rPr>
        <w:t>MAX</w:t>
      </w:r>
      <w:r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br/>
        <w:t>НАПИ. Автомобильный рынок</w:t>
      </w:r>
      <w:r>
        <w:t xml:space="preserve"> </w:t>
      </w:r>
      <w:hyperlink r:id="rId14" w:history="1">
        <w:r>
          <w:rPr>
            <w:rStyle w:val="af8"/>
            <w:rFonts w:ascii="Calibri" w:hAnsi="Calibri" w:cs="Calibri"/>
            <w:sz w:val="18"/>
            <w:szCs w:val="18"/>
          </w:rPr>
          <w:t>https://max.ru/join/fYpqYH4rbZ8183DYP0PMhbUCP5pNUOR-o-tbhTz4zKg</w:t>
        </w:r>
      </w:hyperlink>
    </w:p>
    <w:p w14:paraId="2FE343F4" w14:textId="44F0783B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 </w:t>
      </w:r>
    </w:p>
    <w:p w14:paraId="3CB2C261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+7 831 439 21 82</w:t>
      </w:r>
    </w:p>
    <w:p w14:paraId="30D7DBCE" w14:textId="77777777" w:rsidR="007566CD" w:rsidRDefault="007566CD" w:rsidP="007566CD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18"/>
          <w:szCs w:val="18"/>
        </w:rPr>
        <w:t>+7 831 434 53 94</w:t>
      </w:r>
    </w:p>
    <w:p w14:paraId="2BF3537E" w14:textId="1A00BC87" w:rsidR="0096396C" w:rsidRPr="001B2EE2" w:rsidRDefault="007566CD" w:rsidP="001B2EE2">
      <w:pPr>
        <w:pStyle w:val="wordsection1"/>
        <w:spacing w:before="0" w:beforeAutospacing="0" w:after="0" w:afterAutospacing="0" w:line="200" w:lineRule="exact"/>
        <w:rPr>
          <w:rFonts w:ascii="Calibri Light" w:eastAsia="Calibri" w:hAnsi="Calibri Light" w:cs="Calibri Light"/>
        </w:rPr>
      </w:pPr>
      <w:r>
        <w:rPr>
          <w:rFonts w:ascii="Calibri" w:hAnsi="Calibri" w:cs="Calibri"/>
          <w:sz w:val="18"/>
          <w:szCs w:val="18"/>
        </w:rPr>
        <w:t>+7 831 464 02 98</w:t>
      </w:r>
    </w:p>
    <w:sectPr w:rsidR="0096396C" w:rsidRPr="001B2EE2" w:rsidSect="00DB24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90" w:right="758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9A42" w14:textId="77777777" w:rsidR="008B31F6" w:rsidRDefault="008B31F6" w:rsidP="0071765E">
      <w:pPr>
        <w:spacing w:before="0" w:after="0" w:line="240" w:lineRule="auto"/>
      </w:pPr>
      <w:r>
        <w:separator/>
      </w:r>
    </w:p>
  </w:endnote>
  <w:endnote w:type="continuationSeparator" w:id="0">
    <w:p w14:paraId="3C28E65C" w14:textId="77777777" w:rsidR="008B31F6" w:rsidRDefault="008B31F6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C607" w14:textId="77777777" w:rsidR="000D0AEA" w:rsidRDefault="000D0AE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A41C" w14:textId="47CA4164" w:rsidR="00263C6D" w:rsidRPr="00CA4359" w:rsidRDefault="00C659E7" w:rsidP="00263C6D">
    <w:pPr>
      <w:rPr>
        <w:rFonts w:cs="Arial"/>
        <w:b/>
        <w:color w:val="808080"/>
        <w:sz w:val="16"/>
        <w:szCs w:val="16"/>
        <w:lang w:val="ru-RU"/>
      </w:rPr>
    </w:pPr>
    <w:r w:rsidRPr="00C659E7">
      <w:rPr>
        <w:rFonts w:cs="Arial"/>
        <w:b/>
        <w:color w:val="808080"/>
        <w:sz w:val="16"/>
        <w:szCs w:val="16"/>
        <w:lang w:val="ru-RU"/>
      </w:rPr>
      <w:t>Более 50% проданных  в 2025 году легковых авто были произведены в России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6B47E" wp14:editId="4946F042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7BED71" wp14:editId="4A50DD3E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448185" w14:textId="4C31AD3A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C659E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BED71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1B448185" w14:textId="4C31AD3A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C659E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889FB" w14:textId="5C08CD4E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9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24AC9" w14:textId="77777777" w:rsidR="00263C6D" w:rsidRDefault="00263C6D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CB5" w14:textId="77777777" w:rsidR="000D0AEA" w:rsidRDefault="000D0AE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70FD" w14:textId="77777777" w:rsidR="008B31F6" w:rsidRDefault="008B31F6" w:rsidP="0071765E">
      <w:pPr>
        <w:spacing w:before="0" w:after="0" w:line="240" w:lineRule="auto"/>
      </w:pPr>
      <w:r>
        <w:separator/>
      </w:r>
    </w:p>
  </w:footnote>
  <w:footnote w:type="continuationSeparator" w:id="0">
    <w:p w14:paraId="0FF16F2F" w14:textId="77777777" w:rsidR="008B31F6" w:rsidRDefault="008B31F6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C976" w14:textId="77777777" w:rsidR="000D0AEA" w:rsidRDefault="000D0AE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C29" w14:textId="79AC9D1F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8CFD1" wp14:editId="5BA93507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05643EEA" wp14:editId="71CE43AA">
          <wp:extent cx="695325" cy="4058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2B34" w14:textId="77777777" w:rsidR="000D0AEA" w:rsidRDefault="000D0AE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4530"/>
    <w:multiLevelType w:val="hybridMultilevel"/>
    <w:tmpl w:val="F56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3B1D"/>
    <w:multiLevelType w:val="hybridMultilevel"/>
    <w:tmpl w:val="27624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A2A56"/>
    <w:rsid w:val="000B5141"/>
    <w:rsid w:val="000C7F97"/>
    <w:rsid w:val="000D0AEA"/>
    <w:rsid w:val="000F16D0"/>
    <w:rsid w:val="000F2859"/>
    <w:rsid w:val="00127EA4"/>
    <w:rsid w:val="0015192A"/>
    <w:rsid w:val="0018521E"/>
    <w:rsid w:val="001A7D47"/>
    <w:rsid w:val="001B2EE2"/>
    <w:rsid w:val="001D0F9E"/>
    <w:rsid w:val="0020047D"/>
    <w:rsid w:val="002206E9"/>
    <w:rsid w:val="00230525"/>
    <w:rsid w:val="00240A61"/>
    <w:rsid w:val="00244D7E"/>
    <w:rsid w:val="00250A52"/>
    <w:rsid w:val="00263C6D"/>
    <w:rsid w:val="002C06E7"/>
    <w:rsid w:val="00300B3E"/>
    <w:rsid w:val="00313776"/>
    <w:rsid w:val="00327B67"/>
    <w:rsid w:val="00364802"/>
    <w:rsid w:val="00374AD2"/>
    <w:rsid w:val="00397E28"/>
    <w:rsid w:val="003C34C8"/>
    <w:rsid w:val="003E33DD"/>
    <w:rsid w:val="004602A4"/>
    <w:rsid w:val="004672D1"/>
    <w:rsid w:val="00470E98"/>
    <w:rsid w:val="004A66F2"/>
    <w:rsid w:val="004A789A"/>
    <w:rsid w:val="004C58FD"/>
    <w:rsid w:val="004D0465"/>
    <w:rsid w:val="004D1BE8"/>
    <w:rsid w:val="005146F4"/>
    <w:rsid w:val="00565E9B"/>
    <w:rsid w:val="005770D4"/>
    <w:rsid w:val="005A2AFF"/>
    <w:rsid w:val="005B2D7B"/>
    <w:rsid w:val="005D79A2"/>
    <w:rsid w:val="005E0373"/>
    <w:rsid w:val="00604943"/>
    <w:rsid w:val="006056FD"/>
    <w:rsid w:val="0062165C"/>
    <w:rsid w:val="00624528"/>
    <w:rsid w:val="00627167"/>
    <w:rsid w:val="00670AE9"/>
    <w:rsid w:val="006A36FA"/>
    <w:rsid w:val="006C32C7"/>
    <w:rsid w:val="00704AEC"/>
    <w:rsid w:val="0071765E"/>
    <w:rsid w:val="007566CD"/>
    <w:rsid w:val="007632BE"/>
    <w:rsid w:val="007D2BDE"/>
    <w:rsid w:val="007D2D5C"/>
    <w:rsid w:val="007F654F"/>
    <w:rsid w:val="008025EF"/>
    <w:rsid w:val="008B31F6"/>
    <w:rsid w:val="008B4555"/>
    <w:rsid w:val="008C48D8"/>
    <w:rsid w:val="008F5EF2"/>
    <w:rsid w:val="00901B4F"/>
    <w:rsid w:val="00941231"/>
    <w:rsid w:val="00962C10"/>
    <w:rsid w:val="0096396C"/>
    <w:rsid w:val="0097322F"/>
    <w:rsid w:val="009C50C8"/>
    <w:rsid w:val="009D15BE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C2DDA"/>
    <w:rsid w:val="00AD063B"/>
    <w:rsid w:val="00AE488B"/>
    <w:rsid w:val="00B13CAC"/>
    <w:rsid w:val="00B83DA3"/>
    <w:rsid w:val="00B84A3E"/>
    <w:rsid w:val="00B93F87"/>
    <w:rsid w:val="00B95C4A"/>
    <w:rsid w:val="00BB6F46"/>
    <w:rsid w:val="00BC7026"/>
    <w:rsid w:val="00BC72F0"/>
    <w:rsid w:val="00BD6DB4"/>
    <w:rsid w:val="00BE48EF"/>
    <w:rsid w:val="00C00935"/>
    <w:rsid w:val="00C0783A"/>
    <w:rsid w:val="00C45B00"/>
    <w:rsid w:val="00C659E7"/>
    <w:rsid w:val="00CA4359"/>
    <w:rsid w:val="00CE3A2B"/>
    <w:rsid w:val="00CE52D8"/>
    <w:rsid w:val="00D21BFF"/>
    <w:rsid w:val="00D24EFA"/>
    <w:rsid w:val="00D61A88"/>
    <w:rsid w:val="00D732C0"/>
    <w:rsid w:val="00D82FB5"/>
    <w:rsid w:val="00DB2474"/>
    <w:rsid w:val="00DE364A"/>
    <w:rsid w:val="00E17CAB"/>
    <w:rsid w:val="00E2772D"/>
    <w:rsid w:val="00E36298"/>
    <w:rsid w:val="00E70CCD"/>
    <w:rsid w:val="00E77160"/>
    <w:rsid w:val="00E82680"/>
    <w:rsid w:val="00E876EC"/>
    <w:rsid w:val="00E9690D"/>
    <w:rsid w:val="00EA378E"/>
    <w:rsid w:val="00EE36D4"/>
    <w:rsid w:val="00EF1179"/>
    <w:rsid w:val="00F15194"/>
    <w:rsid w:val="00F27F07"/>
    <w:rsid w:val="00F42B9F"/>
    <w:rsid w:val="00F55FD8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50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7566CD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-7">
    <w:name w:val="Grid Table 7 Colorful"/>
    <w:basedOn w:val="a1"/>
    <w:uiPriority w:val="52"/>
    <w:rsid w:val="001B2EE2"/>
    <w:pPr>
      <w:spacing w:before="0" w:after="0" w:line="240" w:lineRule="auto"/>
    </w:pPr>
    <w:rPr>
      <w:color w:val="000000" w:themeColor="text1"/>
      <w:sz w:val="22"/>
      <w:szCs w:val="22"/>
      <w:lang w:val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9">
    <w:name w:val="Normal (Web)"/>
    <w:basedOn w:val="a"/>
    <w:uiPriority w:val="99"/>
    <w:unhideWhenUsed/>
    <w:rsid w:val="00244D7E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avtomobilnaya-statistika/avtomobilnaya-statistika/" TargetMode="External"/><Relationship Id="rId13" Type="http://schemas.openxmlformats.org/officeDocument/2006/relationships/hyperlink" Target="https://t.me/napinf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pinfo.ru/" TargetMode="External"/><Relationship Id="rId12" Type="http://schemas.openxmlformats.org/officeDocument/2006/relationships/hyperlink" Target="http://www.dv-tco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singsta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apinfo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max.ru/join/fYpqYH4rbZ8183DYP0PMhbUCP5pNUOR-o-tbhTz4zK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5</cp:revision>
  <dcterms:created xsi:type="dcterms:W3CDTF">2026-02-12T08:33:00Z</dcterms:created>
  <dcterms:modified xsi:type="dcterms:W3CDTF">2026-02-12T08:39:00Z</dcterms:modified>
</cp:coreProperties>
</file>